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A7" w:rsidRPr="001F2A70" w:rsidRDefault="00FF08A7" w:rsidP="00D017CE">
      <w:pPr>
        <w:spacing w:beforeLines="50" w:line="500" w:lineRule="exact"/>
        <w:rPr>
          <w:rFonts w:ascii="宋体" w:cs="Times New Roman"/>
          <w:b/>
          <w:bCs/>
          <w:color w:val="000000"/>
          <w:sz w:val="28"/>
          <w:szCs w:val="28"/>
        </w:rPr>
      </w:pPr>
      <w:r w:rsidRPr="001F2A70">
        <w:rPr>
          <w:rFonts w:ascii="宋体" w:hAnsi="宋体" w:cs="宋体" w:hint="eastAsia"/>
          <w:b/>
          <w:bCs/>
          <w:color w:val="000000"/>
          <w:sz w:val="28"/>
          <w:szCs w:val="28"/>
        </w:rPr>
        <w:t>附件</w:t>
      </w:r>
      <w:r w:rsidRPr="001F2A70">
        <w:rPr>
          <w:rFonts w:ascii="宋体" w:hAnsi="宋体" w:cs="宋体"/>
          <w:b/>
          <w:bCs/>
          <w:color w:val="000000"/>
          <w:sz w:val="28"/>
          <w:szCs w:val="28"/>
        </w:rPr>
        <w:t>1</w:t>
      </w:r>
    </w:p>
    <w:p w:rsidR="00FF08A7" w:rsidRPr="00547313" w:rsidRDefault="00FF08A7" w:rsidP="00D017CE">
      <w:pPr>
        <w:spacing w:beforeLines="50" w:line="500" w:lineRule="exact"/>
        <w:jc w:val="center"/>
        <w:rPr>
          <w:rFonts w:ascii="宋体" w:cs="Times New Roman"/>
          <w:b/>
          <w:bCs/>
          <w:color w:val="00000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学院（系、所）科研</w:t>
      </w:r>
      <w:r w:rsidRPr="00547313">
        <w:rPr>
          <w:rFonts w:ascii="宋体" w:hAnsi="宋体" w:cs="宋体" w:hint="eastAsia"/>
          <w:b/>
          <w:bCs/>
          <w:color w:val="000000"/>
          <w:sz w:val="30"/>
          <w:szCs w:val="30"/>
        </w:rPr>
        <w:t>实验室安全</w:t>
      </w: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管理现场</w:t>
      </w:r>
      <w:r w:rsidRPr="00547313">
        <w:rPr>
          <w:rFonts w:ascii="宋体" w:hAnsi="宋体" w:cs="宋体" w:hint="eastAsia"/>
          <w:b/>
          <w:bCs/>
          <w:color w:val="000000"/>
          <w:sz w:val="30"/>
          <w:szCs w:val="30"/>
        </w:rPr>
        <w:t>检查项目表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"/>
        <w:gridCol w:w="4946"/>
        <w:gridCol w:w="405"/>
        <w:gridCol w:w="419"/>
        <w:gridCol w:w="448"/>
        <w:gridCol w:w="396"/>
        <w:gridCol w:w="2168"/>
        <w:gridCol w:w="6"/>
      </w:tblGrid>
      <w:tr w:rsidR="00FF08A7" w:rsidRPr="00547313">
        <w:trPr>
          <w:trHeight w:val="285"/>
          <w:jc w:val="center"/>
        </w:trPr>
        <w:tc>
          <w:tcPr>
            <w:tcW w:w="69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494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检查项目</w:t>
            </w:r>
          </w:p>
        </w:tc>
        <w:tc>
          <w:tcPr>
            <w:tcW w:w="3842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spacing w:line="240" w:lineRule="exact"/>
              <w:jc w:val="center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检查结果</w:t>
            </w:r>
          </w:p>
        </w:tc>
      </w:tr>
      <w:tr w:rsidR="00FF08A7" w:rsidRPr="00547313">
        <w:trPr>
          <w:gridAfter w:val="1"/>
          <w:wAfter w:w="6" w:type="dxa"/>
          <w:trHeight w:val="1087"/>
          <w:jc w:val="center"/>
        </w:trPr>
        <w:tc>
          <w:tcPr>
            <w:tcW w:w="69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494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spacing w:line="240" w:lineRule="exact"/>
              <w:jc w:val="center"/>
              <w:rPr>
                <w:rFonts w:hAnsi="宋体"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符</w:t>
            </w:r>
          </w:p>
          <w:p w:rsidR="00FF08A7" w:rsidRPr="00547313" w:rsidRDefault="00FF08A7" w:rsidP="00E1186F">
            <w:pPr>
              <w:spacing w:line="240" w:lineRule="exact"/>
              <w:jc w:val="center"/>
              <w:rPr>
                <w:rFonts w:cs="Times New Roman"/>
                <w:b/>
                <w:bCs/>
                <w:color w:val="000000"/>
                <w:kern w:val="0"/>
              </w:rPr>
            </w:pPr>
          </w:p>
          <w:p w:rsidR="00FF08A7" w:rsidRPr="00547313" w:rsidRDefault="00FF08A7" w:rsidP="00E1186F">
            <w:pPr>
              <w:spacing w:line="240" w:lineRule="exact"/>
              <w:jc w:val="center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合</w:t>
            </w: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spacing w:line="240" w:lineRule="exact"/>
              <w:jc w:val="center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基</w:t>
            </w:r>
          </w:p>
          <w:p w:rsidR="00FF08A7" w:rsidRPr="00547313" w:rsidRDefault="00FF08A7" w:rsidP="00E1186F">
            <w:pPr>
              <w:spacing w:line="240" w:lineRule="exact"/>
              <w:jc w:val="center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本</w:t>
            </w:r>
          </w:p>
          <w:p w:rsidR="00FF08A7" w:rsidRPr="00547313" w:rsidRDefault="00FF08A7" w:rsidP="00E1186F">
            <w:pPr>
              <w:spacing w:line="240" w:lineRule="exact"/>
              <w:jc w:val="center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符</w:t>
            </w:r>
          </w:p>
          <w:p w:rsidR="00FF08A7" w:rsidRPr="00547313" w:rsidRDefault="00FF08A7" w:rsidP="00E1186F">
            <w:pPr>
              <w:spacing w:line="240" w:lineRule="exact"/>
              <w:jc w:val="center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合</w:t>
            </w: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spacing w:line="240" w:lineRule="exact"/>
              <w:jc w:val="center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不</w:t>
            </w:r>
          </w:p>
          <w:p w:rsidR="00FF08A7" w:rsidRPr="00547313" w:rsidRDefault="00FF08A7" w:rsidP="00E1186F">
            <w:pPr>
              <w:spacing w:line="240" w:lineRule="exact"/>
              <w:jc w:val="center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符</w:t>
            </w:r>
          </w:p>
          <w:p w:rsidR="00FF08A7" w:rsidRPr="00547313" w:rsidRDefault="00FF08A7" w:rsidP="00E1186F">
            <w:pPr>
              <w:spacing w:line="240" w:lineRule="exact"/>
              <w:jc w:val="center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合</w:t>
            </w: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spacing w:line="240" w:lineRule="exact"/>
              <w:jc w:val="center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不</w:t>
            </w:r>
          </w:p>
          <w:p w:rsidR="00FF08A7" w:rsidRPr="00547313" w:rsidRDefault="00FF08A7" w:rsidP="00E1186F">
            <w:pPr>
              <w:spacing w:line="240" w:lineRule="exact"/>
              <w:jc w:val="center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适</w:t>
            </w:r>
          </w:p>
          <w:p w:rsidR="00FF08A7" w:rsidRPr="00547313" w:rsidRDefault="00FF08A7" w:rsidP="00E1186F">
            <w:pPr>
              <w:spacing w:line="240" w:lineRule="exact"/>
              <w:jc w:val="center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用</w:t>
            </w:r>
          </w:p>
        </w:tc>
        <w:tc>
          <w:tcPr>
            <w:tcW w:w="21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spacing w:line="240" w:lineRule="exact"/>
              <w:jc w:val="center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问题说明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安全责任体系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1.1.1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ascii="宋体" w:hAnsi="宋体" w:cs="宋体" w:hint="eastAsia"/>
                <w:color w:val="000000"/>
                <w:kern w:val="0"/>
              </w:rPr>
              <w:t>有教师（含退休回聘）或学生组成的实验室安全督查</w:t>
            </w:r>
            <w:r w:rsidRPr="00547313">
              <w:rPr>
                <w:rFonts w:ascii="宋体" w:hAnsi="宋体" w:cs="宋体"/>
                <w:color w:val="000000"/>
                <w:kern w:val="0"/>
              </w:rPr>
              <w:t>/</w:t>
            </w:r>
            <w:r w:rsidRPr="00547313">
              <w:rPr>
                <w:rFonts w:ascii="宋体" w:hAnsi="宋体" w:cs="宋体" w:hint="eastAsia"/>
                <w:color w:val="000000"/>
                <w:kern w:val="0"/>
              </w:rPr>
              <w:t>协查队伍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Del="00C36914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1.1.</w:t>
            </w: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547313">
              <w:rPr>
                <w:rFonts w:ascii="宋体" w:hAnsi="宋体" w:cs="宋体" w:hint="eastAsia"/>
                <w:color w:val="000000"/>
                <w:kern w:val="0"/>
              </w:rPr>
              <w:t>与学校签订实验室安全管理责任书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Del="00C36914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1.</w:t>
            </w:r>
            <w:r>
              <w:rPr>
                <w:color w:val="000000"/>
                <w:kern w:val="0"/>
              </w:rPr>
              <w:t>13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color w:val="000000"/>
                <w:kern w:val="0"/>
              </w:rPr>
              <w:t>成立实验室安全领导小组，由党政一把手挂帅，实验室负责人参加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Del="00C36914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1.</w:t>
            </w:r>
            <w:r>
              <w:rPr>
                <w:color w:val="000000"/>
                <w:kern w:val="0"/>
              </w:rPr>
              <w:t>1.4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color w:val="000000"/>
                <w:kern w:val="0"/>
              </w:rPr>
              <w:t>专兼职实验室</w:t>
            </w:r>
            <w:r>
              <w:rPr>
                <w:rFonts w:hAnsi="宋体" w:cs="宋体" w:hint="eastAsia"/>
                <w:color w:val="000000"/>
                <w:kern w:val="0"/>
              </w:rPr>
              <w:t>安全</w:t>
            </w:r>
            <w:r w:rsidRPr="00547313">
              <w:rPr>
                <w:rFonts w:hAnsi="宋体" w:cs="宋体" w:hint="eastAsia"/>
                <w:color w:val="000000"/>
                <w:kern w:val="0"/>
              </w:rPr>
              <w:t>秘书或管理人员（非文科院系是兼职的填</w:t>
            </w:r>
            <w:r w:rsidRPr="00547313">
              <w:rPr>
                <w:color w:val="000000"/>
                <w:kern w:val="0"/>
              </w:rPr>
              <w:t>“</w:t>
            </w:r>
            <w:r w:rsidRPr="00547313">
              <w:rPr>
                <w:rFonts w:hAnsi="宋体" w:cs="宋体" w:hint="eastAsia"/>
                <w:color w:val="000000"/>
                <w:kern w:val="0"/>
              </w:rPr>
              <w:t>基本符合</w:t>
            </w:r>
            <w:r w:rsidRPr="00547313">
              <w:rPr>
                <w:color w:val="000000"/>
                <w:kern w:val="0"/>
              </w:rPr>
              <w:t>”</w:t>
            </w:r>
            <w:r w:rsidRPr="00547313">
              <w:rPr>
                <w:rFonts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1.1.5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hAnsi="宋体" w:cs="宋体" w:hint="eastAsia"/>
                <w:color w:val="000000"/>
                <w:kern w:val="0"/>
              </w:rPr>
              <w:t>建立实验</w:t>
            </w:r>
            <w:r w:rsidRPr="00547313">
              <w:rPr>
                <w:rFonts w:hAnsi="宋体" w:cs="宋体" w:hint="eastAsia"/>
                <w:color w:val="000000"/>
                <w:kern w:val="0"/>
              </w:rPr>
              <w:t>室安全责任体系，所有</w:t>
            </w:r>
            <w:r>
              <w:rPr>
                <w:rFonts w:hAnsi="宋体" w:cs="宋体" w:hint="eastAsia"/>
                <w:color w:val="000000"/>
                <w:kern w:val="0"/>
              </w:rPr>
              <w:t>实验室</w:t>
            </w:r>
            <w:r w:rsidRPr="00547313">
              <w:rPr>
                <w:rFonts w:hAnsi="宋体" w:cs="宋体" w:hint="eastAsia"/>
                <w:color w:val="000000"/>
                <w:kern w:val="0"/>
              </w:rPr>
              <w:t>都明确安全责任人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1.1.6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hAns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与各实验室签订实验室安全管理责任书，与进入人员签订安全责任书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2.2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安全管理制度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2.2.1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color w:val="000000"/>
                <w:kern w:val="0"/>
              </w:rPr>
              <w:t>实验室安全管理制度</w:t>
            </w:r>
            <w:r>
              <w:rPr>
                <w:rFonts w:hAnsi="宋体" w:cs="宋体" w:hint="eastAsia"/>
                <w:color w:val="000000"/>
                <w:kern w:val="0"/>
              </w:rPr>
              <w:t>健全，</w:t>
            </w:r>
            <w:r w:rsidRPr="00547313">
              <w:rPr>
                <w:rFonts w:hAnsi="宋体" w:cs="宋体" w:hint="eastAsia"/>
                <w:color w:val="000000"/>
                <w:kern w:val="0"/>
              </w:rPr>
              <w:t>有</w:t>
            </w:r>
            <w:r>
              <w:rPr>
                <w:rFonts w:hAnsi="宋体" w:cs="宋体" w:hint="eastAsia"/>
                <w:color w:val="000000"/>
                <w:kern w:val="0"/>
              </w:rPr>
              <w:t>专业</w:t>
            </w:r>
            <w:r w:rsidRPr="00547313">
              <w:rPr>
                <w:rFonts w:hAnsi="宋体" w:cs="宋体" w:hint="eastAsia"/>
                <w:color w:val="000000"/>
                <w:kern w:val="0"/>
              </w:rPr>
              <w:t>特色的</w:t>
            </w:r>
            <w:r>
              <w:rPr>
                <w:rFonts w:hAnsi="宋体" w:cs="宋体" w:hint="eastAsia"/>
                <w:color w:val="000000"/>
                <w:kern w:val="0"/>
              </w:rPr>
              <w:t>安全制度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2.2.2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color w:val="000000"/>
                <w:kern w:val="0"/>
              </w:rPr>
              <w:t>有安全检查与值班值日制度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2.2.3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color w:val="000000"/>
                <w:kern w:val="0"/>
              </w:rPr>
              <w:t>有实验操作规程（含安全注意事项，特别是对于危险性实验与操作）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2.2.4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color w:val="000000"/>
                <w:kern w:val="0"/>
              </w:rPr>
              <w:t>有仪器操作规程（含安全注意事项）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2.2.5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hAnsi="宋体"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color w:val="000000"/>
                <w:kern w:val="0"/>
              </w:rPr>
              <w:t>有体现</w:t>
            </w:r>
            <w:r>
              <w:rPr>
                <w:rFonts w:hAnsi="宋体" w:cs="宋体" w:hint="eastAsia"/>
                <w:color w:val="000000"/>
                <w:kern w:val="0"/>
              </w:rPr>
              <w:t>专业</w:t>
            </w:r>
            <w:r w:rsidRPr="00547313">
              <w:rPr>
                <w:rFonts w:hAnsi="宋体" w:cs="宋体" w:hint="eastAsia"/>
                <w:color w:val="000000"/>
                <w:kern w:val="0"/>
              </w:rPr>
              <w:t>特色的应急预案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2.3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规章制度的执行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2.3.1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color w:val="000000"/>
                <w:kern w:val="0"/>
              </w:rPr>
              <w:t>建立安全检查和值日台账，且记录规范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2.3.2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color w:val="000000"/>
                <w:kern w:val="0"/>
              </w:rPr>
              <w:t>将有操作指导性的制度、规程上墙</w:t>
            </w:r>
            <w:r>
              <w:rPr>
                <w:rFonts w:hAnsi="宋体" w:cs="宋体" w:hint="eastAsia"/>
                <w:color w:val="000000"/>
                <w:kern w:val="0"/>
              </w:rPr>
              <w:t>（特别是有危险性的操作一定要明确）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2.3.3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hAnsi="宋体" w:cs="Times New Roman"/>
                <w:color w:val="000000"/>
                <w:kern w:val="0"/>
              </w:rPr>
            </w:pPr>
            <w:r w:rsidRPr="00547313">
              <w:rPr>
                <w:rFonts w:ascii="Times New Roman" w:hAnsi="Times New Roman" w:cs="宋体" w:hint="eastAsia"/>
                <w:color w:val="000000"/>
                <w:kern w:val="0"/>
              </w:rPr>
              <w:t>对于检查发现存在问题的，有合适的方式通知被查实验室，如网上公示、整改通知书等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2.3.4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color w:val="000000"/>
                <w:kern w:val="0"/>
              </w:rPr>
              <w:t>检查出的问题得到及时的整改，有记录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安全教育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3.1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教育培训计划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3.1.1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color w:val="000000"/>
                <w:kern w:val="0"/>
              </w:rPr>
              <w:t>有年度安全教育培训计划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3.1.2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Del="00666AD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color w:val="000000"/>
                <w:kern w:val="0"/>
              </w:rPr>
              <w:t>有安全教育和培训的记录，并存档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3.2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活动组织与实施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3.2.1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color w:val="000000"/>
                <w:kern w:val="0"/>
              </w:rPr>
              <w:t>开展了教职工安全教育与培训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3.2.2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color w:val="000000"/>
                <w:kern w:val="0"/>
              </w:rPr>
              <w:t>开展了研究生安全教育与培训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3.2.3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color w:val="000000"/>
                <w:kern w:val="0"/>
              </w:rPr>
              <w:t>开展了本科生安全教育与培训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3.2.4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开展了结合</w:t>
            </w:r>
            <w:r>
              <w:rPr>
                <w:rFonts w:cs="宋体" w:hint="eastAsia"/>
                <w:color w:val="000000"/>
                <w:kern w:val="0"/>
              </w:rPr>
              <w:t>专业</w:t>
            </w:r>
            <w:r w:rsidRPr="00547313">
              <w:rPr>
                <w:rFonts w:cs="宋体" w:hint="eastAsia"/>
                <w:color w:val="000000"/>
                <w:kern w:val="0"/>
              </w:rPr>
              <w:t>特点的应急演练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3.4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b/>
                <w:bCs/>
                <w:color w:val="000000"/>
                <w:kern w:val="0"/>
              </w:rPr>
              <w:t>宣传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3.4.1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color w:val="000000"/>
                <w:kern w:val="0"/>
              </w:rPr>
              <w:t>在本单位主页设立专门的板块开展安全宣传、报道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3.4.2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color w:val="000000"/>
                <w:kern w:val="0"/>
              </w:rPr>
              <w:t>设有安全教育宣传窗，或有宣传画、标语、提示等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3.4.3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color w:val="000000"/>
                <w:kern w:val="0"/>
              </w:rPr>
              <w:t>编印《实验室安全手册》并发放到每一位师生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3.4.4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Del="00666AD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hAnsi="宋体" w:cs="宋体" w:hint="eastAsia"/>
                <w:color w:val="000000"/>
                <w:kern w:val="0"/>
              </w:rPr>
              <w:t>通过短信、网络等途径定期对师生进行安全方面的温馨提醒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实验室环境与管理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4.1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场所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4.1.1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每个房间门口挂有安全信息牌，信息包括安全责任人、涉及危险类别、防护措施和有效的应急联系电话等，并及时更新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4.1.2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特殊实验室应张贴相应的安全警示标识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4.1.3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实验室消防通道通畅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4.1.4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门上有可视窗</w:t>
            </w:r>
            <w:r>
              <w:rPr>
                <w:rFonts w:cs="宋体" w:hint="eastAsia"/>
                <w:color w:val="000000"/>
                <w:kern w:val="0"/>
              </w:rPr>
              <w:t>，不可在可视窗前摆放仪器设备等物品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4.1.5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不安装额外的铁栏栅门（特殊情况除外）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4.1.6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除一楼之外不安装防盗窗（特殊情况除外）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4.1.7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公共场所、通道无堆放仪器、物品现象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4.1.8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所有房间的钥匙有备用，存放在单位办公室或传达室内，由专人管理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4.2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卫生与环境</w:t>
            </w:r>
          </w:p>
        </w:tc>
      </w:tr>
      <w:tr w:rsidR="00FF08A7" w:rsidRPr="00547313">
        <w:trPr>
          <w:trHeight w:val="270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4.2.1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实验区与学习区明确分开，布局合理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4.2.2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实验室物品摆放有序，卫生状况良好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4.2.3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不存在门开着而无人的现象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4.2.4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无废弃物品（如纸板箱、废电脑、破仪器、破家具等）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70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4.4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场所其它安全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4.4.1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实验室内不放无关物品，如电动车、自行车等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4.4.2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实验室内不烧煮食物、</w:t>
            </w:r>
            <w:r>
              <w:rPr>
                <w:rFonts w:cs="宋体" w:hint="eastAsia"/>
                <w:color w:val="000000"/>
                <w:kern w:val="0"/>
              </w:rPr>
              <w:t>饮食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4.4.3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不在实验室内睡觉过夜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4.4.4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实验室内无吸烟现象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4.4.5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化学、生物类实验室不得使用可燃性蚊香。其</w:t>
            </w:r>
            <w:r>
              <w:rPr>
                <w:rFonts w:cs="宋体" w:hint="eastAsia"/>
                <w:color w:val="000000"/>
                <w:kern w:val="0"/>
              </w:rPr>
              <w:t>它</w:t>
            </w:r>
            <w:r w:rsidRPr="00547313">
              <w:rPr>
                <w:rFonts w:cs="宋体" w:hint="eastAsia"/>
                <w:color w:val="000000"/>
                <w:kern w:val="0"/>
              </w:rPr>
              <w:t>实验室如需使用，其底盘必须是金属的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安全设施</w:t>
            </w:r>
          </w:p>
        </w:tc>
      </w:tr>
      <w:tr w:rsidR="00FF08A7" w:rsidRPr="00547313">
        <w:trPr>
          <w:trHeight w:val="368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5.1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应急设施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5.1.1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配置消防器材（烟感报警器、灭火器、消防栓、手动报警器</w:t>
            </w:r>
            <w:r>
              <w:rPr>
                <w:rFonts w:cs="宋体" w:hint="eastAsia"/>
                <w:color w:val="000000"/>
                <w:kern w:val="0"/>
              </w:rPr>
              <w:t>、沙桶</w:t>
            </w:r>
            <w:r w:rsidRPr="00547313">
              <w:rPr>
                <w:rFonts w:cs="宋体" w:hint="eastAsia"/>
                <w:color w:val="000000"/>
                <w:kern w:val="0"/>
              </w:rPr>
              <w:t>等）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5.1.2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实验大楼有逃生线路指示图，并安装了应急指示灯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5.1.3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灭火器配备数量合理，无灭火器过期现象</w:t>
            </w:r>
            <w:r w:rsidRPr="00547313">
              <w:rPr>
                <w:color w:val="000000"/>
                <w:kern w:val="0"/>
              </w:rPr>
              <w:t>,</w:t>
            </w:r>
            <w:r w:rsidRPr="00547313">
              <w:rPr>
                <w:rFonts w:cs="宋体" w:hint="eastAsia"/>
                <w:color w:val="000000"/>
                <w:kern w:val="0"/>
              </w:rPr>
              <w:t>摆放位置利于取用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5.1.4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0B7D39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0B7D39">
              <w:rPr>
                <w:rFonts w:cs="宋体" w:hint="eastAsia"/>
                <w:color w:val="000000"/>
                <w:kern w:val="0"/>
              </w:rPr>
              <w:t>实验室不能存放剧毒品、病原微生物和放射源等，如要存放必须有防盗和监控设施，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5.1.5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化学和生物类实验室有应急喷淋装置和洗眼装置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5.1.6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应急喷淋装置水管总阀处常开状，喷头下方无障碍物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5.1.7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有应急喷淋和洗眼装置的巡检记录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5.2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通风系统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5.2.1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配备符合要求的通风系统；对于排放有毒有味废气的实验室，有吸收过滤装置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5.2.2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通风系统运行正常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5.2.3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有通风设备进行风速测定等维护、检修记录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5.2.4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换气扇使用正常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5.2.5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风机固定无松动、无异常噪声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水电安全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6.1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用电基础安全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6.1.1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无插头插座不匹配或私自改装的现象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6.1.2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无乱拉乱接电线现象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6.1.3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无电线老化、使用花线和木质配电板的现象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6.1.4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无多个大功率仪器使用同一个接线板的现象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6.1.5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无多个接线板串联、接线板直接放在地面的现象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6.1.6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无电源插座未固定、插座插头破损现象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6.1.7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大功率仪器（包括空调等）有专用插座</w:t>
            </w:r>
            <w:r>
              <w:rPr>
                <w:rFonts w:cs="宋体" w:hint="eastAsia"/>
                <w:color w:val="000000"/>
                <w:kern w:val="0"/>
              </w:rPr>
              <w:t>，长期不用时，应拔出电源插头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6.1.8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无人状态下，充电</w:t>
            </w:r>
            <w:r w:rsidRPr="00AC230F">
              <w:rPr>
                <w:rFonts w:cs="宋体" w:hint="eastAsia"/>
                <w:color w:val="000000"/>
                <w:kern w:val="0"/>
              </w:rPr>
              <w:t>器</w:t>
            </w:r>
            <w:r w:rsidRPr="00D13C4F">
              <w:rPr>
                <w:rFonts w:cs="宋体" w:hint="eastAsia"/>
                <w:color w:val="000000"/>
                <w:kern w:val="0"/>
              </w:rPr>
              <w:t>（宝）</w:t>
            </w:r>
            <w:r w:rsidRPr="00413930">
              <w:rPr>
                <w:rFonts w:cs="宋体" w:hint="eastAsia"/>
                <w:color w:val="000000"/>
                <w:kern w:val="0"/>
              </w:rPr>
              <w:t>不能</w:t>
            </w:r>
            <w:r>
              <w:rPr>
                <w:rFonts w:cs="宋体" w:hint="eastAsia"/>
                <w:color w:val="000000"/>
                <w:kern w:val="0"/>
              </w:rPr>
              <w:t>充电过夜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6.1.9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水槽边不安装电源插座，如实在必要，应有防护挡板或防护罩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6.2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用水安全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6.2.1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下水道畅通，不存在水龙头、水管破损现象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6.2.2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各类链接管无老化破损现象（特别是冷却冷凝系统的橡胶管接口处）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6.2.3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无自来水龙头开着时人离开的现象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化学安全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7.1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化学试剂存放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7.1.1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有房间内化学品的动态台帐</w:t>
            </w:r>
          </w:p>
        </w:tc>
        <w:tc>
          <w:tcPr>
            <w:tcW w:w="405" w:type="dxa"/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rFonts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419" w:type="dxa"/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rFonts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448" w:type="dxa"/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rFonts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396" w:type="dxa"/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rFonts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7.1.2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有序分类存放，放置位置便于查找取用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7.1.3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Del="00C34E7A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强酸与强碱、氧化剂与还原剂等分开存放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7.1.4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固体与液体分开存放（如在同一试剂柜中，液体需放置在下层）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7.1.5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化学品不存在叠放现象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7.1.6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腐蚀溶剂配有托盘类的二次泄漏防护容器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7.1.7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化学试剂标签无脱落、模糊现象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7.1.8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存放点通风、隔热、安全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7.1.9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无存放大桶试剂现象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7.1.10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无大量存放化学试剂现象（用量较大的试剂存量应控制在一周计划用量之内）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7.1.11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无试剂药品过期现象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7.1.12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无试剂瓶、烧瓶等开口放置的现象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7.1.13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对于易泄漏、挥发的试剂应存放在具有通风、吸附功能的试剂柜内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7.2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剧毒品管理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7.2.1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对于具有高挥发性</w:t>
            </w:r>
            <w:r>
              <w:rPr>
                <w:rFonts w:cs="宋体" w:hint="eastAsia"/>
                <w:color w:val="000000"/>
                <w:kern w:val="0"/>
              </w:rPr>
              <w:t>、低闪点</w:t>
            </w:r>
            <w:r w:rsidRPr="00547313">
              <w:rPr>
                <w:rFonts w:cs="宋体" w:hint="eastAsia"/>
                <w:color w:val="000000"/>
                <w:kern w:val="0"/>
              </w:rPr>
              <w:t>的剧毒品应存放在</w:t>
            </w:r>
            <w:r>
              <w:rPr>
                <w:rFonts w:cs="宋体" w:hint="eastAsia"/>
                <w:color w:val="000000"/>
                <w:kern w:val="0"/>
              </w:rPr>
              <w:t>具有防爆功能的</w:t>
            </w:r>
            <w:r w:rsidRPr="00547313">
              <w:rPr>
                <w:rFonts w:cs="宋体" w:hint="eastAsia"/>
                <w:color w:val="000000"/>
                <w:kern w:val="0"/>
              </w:rPr>
              <w:t>冰箱内，并配备双锁，实行双人双锁保管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7.2.2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执行双人收发、双人运输，有记录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7.2.3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使用时有两人同时在场，且计量取用后立即放回保险柜，有记录（双人签字）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7.2.4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有规范的剧毒品处置方法，双人签字记录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7.2.5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残余、废弃的剧毒品或空瓶的处置按规定进行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7.2.6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不得私自从外单位获取剧毒品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7.3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易制毒品等特殊药品管理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7.3.1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Del="004069ED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易制毒品分类存放、专人保管，做好领取、使用、处置记录。其中第一类易制毒品实行“五双”管理制度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7.3.2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Del="004069ED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易制爆品分类存放、专人保管，做好领取、使用、处置记录。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7.3.3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麻醉品和精神类药品储存于专门的保险柜中，有规范的领取、使用、处置台账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7.4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实验气体管理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7.4.1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有气体钢瓶台帐，钢瓶颜色和字体清楚，有状态标识牌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7.4.2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可燃性气体与氧气等助燃气体不混放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7.4.3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涉及剧毒、易燃易爆气体的场所，配有通风设施和监控报警装置等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7.4.4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危险气体钢瓶存放点通风、远离热源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7.4.5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无气体钢瓶放在走廊、大厅等公共场所的现象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7.4.6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气体钢瓶已正确固定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7.4.7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气体管路材质选择合适，无破损或老化现象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7.4.8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气体连接管路连接正确，并时常进行检漏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7.4.9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有气体管路标识，对于存在多条气体管路的房间张贴了详细的管路图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7.4.10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实验结束后，气体钢瓶总阀已关闭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7.4.11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独立的气体钢瓶室有专人管理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7.4.12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无废旧气体钢瓶，无大量气体钢瓶堆放现象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7.5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化学废弃物处置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7.5.1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AC230F">
              <w:rPr>
                <w:rFonts w:cs="宋体" w:hint="eastAsia"/>
                <w:color w:val="000000"/>
                <w:kern w:val="0"/>
              </w:rPr>
              <w:t>配备了</w:t>
            </w:r>
            <w:r w:rsidRPr="00413930">
              <w:rPr>
                <w:rFonts w:cs="宋体" w:hint="eastAsia"/>
                <w:color w:val="000000"/>
                <w:kern w:val="0"/>
              </w:rPr>
              <w:t>化学</w:t>
            </w:r>
            <w:r w:rsidRPr="00AC230F">
              <w:rPr>
                <w:rFonts w:cs="宋体" w:hint="eastAsia"/>
                <w:color w:val="000000"/>
                <w:kern w:val="0"/>
              </w:rPr>
              <w:t>实验废弃物分类容器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7.5.</w:t>
            </w: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对化学废弃物进行了分类存放、包装（应避免易产生剧烈反映的物品混放），并贴好标签，及时送学校中转站或收集点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7.5.</w:t>
            </w: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无大量存放化学废弃物的现象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7.5.</w:t>
            </w:r>
            <w:r>
              <w:rPr>
                <w:color w:val="000000"/>
                <w:kern w:val="0"/>
              </w:rPr>
              <w:t>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无实验废弃物和生活垃圾混放现象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7.5.</w:t>
            </w: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无向下水道倾倒废旧化学试剂等现象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7.5.</w:t>
            </w:r>
            <w:r>
              <w:rPr>
                <w:color w:val="000000"/>
                <w:kern w:val="0"/>
              </w:rPr>
              <w:t>6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无实验室外堆放实验废弃物现象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7.5.</w:t>
            </w:r>
            <w:r>
              <w:rPr>
                <w:color w:val="000000"/>
                <w:kern w:val="0"/>
              </w:rPr>
              <w:t>7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对于产生有毒和异味废气的，有气体吸收装置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7.5.</w:t>
            </w:r>
            <w:r>
              <w:rPr>
                <w:color w:val="000000"/>
                <w:kern w:val="0"/>
              </w:rPr>
              <w:t>8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锐器废物已盛放在纸板箱等不易被刺穿的容器中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7.6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其它化学安全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7.6.1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学院统一</w:t>
            </w:r>
            <w:r w:rsidRPr="00D13C4F">
              <w:rPr>
                <w:rFonts w:cs="宋体" w:hint="eastAsia"/>
                <w:color w:val="000000"/>
                <w:kern w:val="0"/>
              </w:rPr>
              <w:t>试剂标签（用于配置试剂</w:t>
            </w:r>
            <w:r w:rsidRPr="00413930">
              <w:rPr>
                <w:rFonts w:cs="宋体" w:hint="eastAsia"/>
                <w:color w:val="000000"/>
                <w:kern w:val="0"/>
              </w:rPr>
              <w:t>、合成品、样品等），信息包括名称、浓度、责任</w:t>
            </w:r>
            <w:r w:rsidRPr="00D13C4F">
              <w:rPr>
                <w:rFonts w:cs="宋体" w:hint="eastAsia"/>
                <w:color w:val="000000"/>
                <w:kern w:val="0"/>
              </w:rPr>
              <w:t>人、日期</w:t>
            </w:r>
            <w:r w:rsidRPr="00413930">
              <w:rPr>
                <w:rFonts w:cs="宋体" w:hint="eastAsia"/>
                <w:color w:val="000000"/>
                <w:kern w:val="0"/>
              </w:rPr>
              <w:t>、储存条件</w:t>
            </w:r>
            <w:r w:rsidRPr="00AC230F">
              <w:rPr>
                <w:rFonts w:cs="宋体" w:hint="eastAsia"/>
                <w:color w:val="000000"/>
                <w:kern w:val="0"/>
              </w:rPr>
              <w:t>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7.6.2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配置试剂、合成品</w:t>
            </w:r>
            <w:r w:rsidRPr="00AC230F">
              <w:rPr>
                <w:rFonts w:cs="宋体" w:hint="eastAsia"/>
                <w:color w:val="000000"/>
                <w:kern w:val="0"/>
              </w:rPr>
              <w:t>、</w:t>
            </w:r>
            <w:r w:rsidRPr="00D13C4F">
              <w:rPr>
                <w:rFonts w:cs="宋体" w:hint="eastAsia"/>
                <w:color w:val="000000"/>
                <w:kern w:val="0"/>
              </w:rPr>
              <w:t>样品</w:t>
            </w:r>
            <w:r w:rsidRPr="00547313">
              <w:rPr>
                <w:rFonts w:cs="宋体" w:hint="eastAsia"/>
                <w:color w:val="000000"/>
                <w:kern w:val="0"/>
              </w:rPr>
              <w:t>等标签信息明确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7.6.</w:t>
            </w: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配置试剂、合成品等不得无盖放置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7.6.</w:t>
            </w:r>
            <w:r>
              <w:rPr>
                <w:color w:val="000000"/>
                <w:kern w:val="0"/>
              </w:rPr>
              <w:t>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无使用饮料瓶存放试剂、样品的现象</w:t>
            </w:r>
            <w:r>
              <w:rPr>
                <w:rFonts w:cs="宋体" w:hint="eastAsia"/>
                <w:color w:val="000000"/>
                <w:kern w:val="0"/>
              </w:rPr>
              <w:t>。</w:t>
            </w:r>
            <w:r w:rsidRPr="00547313">
              <w:rPr>
                <w:rFonts w:cs="宋体" w:hint="eastAsia"/>
                <w:color w:val="000000"/>
                <w:kern w:val="0"/>
              </w:rPr>
              <w:t>如确需存放，必须撕去原包装纸，贴上专用标签纸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7.6.</w:t>
            </w: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无在原标签纸未撕去的空试剂瓶中存放其它化学品的现象（除非将原标签撕去、重新贴上专用标签纸）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7.6.</w:t>
            </w:r>
            <w:r>
              <w:rPr>
                <w:color w:val="000000"/>
                <w:kern w:val="0"/>
              </w:rPr>
              <w:t>6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用于浸泡玻璃器皿的酸缸、碱缸等有盖子盖上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7.6.7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不存在使用破</w:t>
            </w:r>
            <w:r w:rsidRPr="00AC230F">
              <w:rPr>
                <w:rFonts w:cs="宋体" w:hint="eastAsia"/>
                <w:color w:val="000000"/>
                <w:kern w:val="0"/>
              </w:rPr>
              <w:t>损</w:t>
            </w:r>
            <w:r w:rsidRPr="00D13C4F">
              <w:rPr>
                <w:rFonts w:cs="宋体" w:hint="eastAsia"/>
                <w:color w:val="000000"/>
                <w:kern w:val="0"/>
              </w:rPr>
              <w:t>量筒、试管等</w:t>
            </w:r>
            <w:r>
              <w:rPr>
                <w:rFonts w:cs="宋体" w:hint="eastAsia"/>
                <w:color w:val="000000"/>
                <w:kern w:val="0"/>
              </w:rPr>
              <w:t>玻璃器皿的现象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生物安全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8.1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实验室与人员资质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8.1.1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开展病原微生物相关实验和研究</w:t>
            </w:r>
            <w:r>
              <w:rPr>
                <w:rFonts w:cs="宋体" w:hint="eastAsia"/>
                <w:color w:val="000000"/>
                <w:kern w:val="0"/>
              </w:rPr>
              <w:t>的</w:t>
            </w:r>
            <w:r w:rsidRPr="008A7833">
              <w:rPr>
                <w:rFonts w:cs="宋体" w:hint="eastAsia"/>
                <w:color w:val="000000"/>
                <w:kern w:val="0"/>
              </w:rPr>
              <w:t>实验室</w:t>
            </w:r>
            <w:r>
              <w:rPr>
                <w:rFonts w:cs="宋体" w:hint="eastAsia"/>
                <w:color w:val="000000"/>
                <w:kern w:val="0"/>
              </w:rPr>
              <w:t>，</w:t>
            </w:r>
            <w:r w:rsidRPr="008A7833">
              <w:rPr>
                <w:rFonts w:cs="宋体" w:hint="eastAsia"/>
                <w:color w:val="000000"/>
                <w:kern w:val="0"/>
              </w:rPr>
              <w:t>须具备相应的安全等级资质</w:t>
            </w:r>
            <w:r w:rsidRPr="00547313">
              <w:rPr>
                <w:rFonts w:cs="宋体" w:hint="eastAsia"/>
                <w:color w:val="000000"/>
                <w:kern w:val="0"/>
              </w:rPr>
              <w:t>和生物危害因子实验活动资格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8.1.2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开展病原微生物相关实验和研究的人员经过专业培训，并取得相应的</w:t>
            </w:r>
            <w:r w:rsidRPr="00547313">
              <w:rPr>
                <w:color w:val="000000"/>
                <w:kern w:val="0"/>
              </w:rPr>
              <w:t>“</w:t>
            </w:r>
            <w:r w:rsidRPr="00547313">
              <w:rPr>
                <w:rFonts w:cs="宋体" w:hint="eastAsia"/>
                <w:color w:val="000000"/>
                <w:kern w:val="0"/>
              </w:rPr>
              <w:t>证书</w:t>
            </w:r>
            <w:r w:rsidRPr="00547313">
              <w:rPr>
                <w:color w:val="000000"/>
                <w:kern w:val="0"/>
              </w:rPr>
              <w:t>”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8.1.3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开展病原微生物实验须向卫生或农业主管部门申报备案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8.1.4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开展未经灭活的</w:t>
            </w:r>
            <w:r w:rsidRPr="00BB0D61">
              <w:rPr>
                <w:rFonts w:cs="宋体" w:hint="eastAsia"/>
                <w:color w:val="000000"/>
                <w:kern w:val="0"/>
              </w:rPr>
              <w:t>高</w:t>
            </w:r>
            <w:r w:rsidRPr="008A7833">
              <w:rPr>
                <w:rFonts w:cs="宋体" w:hint="eastAsia"/>
                <w:color w:val="000000"/>
                <w:kern w:val="0"/>
              </w:rPr>
              <w:t>致病性病原微生物（列入一类、二</w:t>
            </w:r>
            <w:r w:rsidRPr="00547313">
              <w:rPr>
                <w:rFonts w:cs="宋体" w:hint="eastAsia"/>
                <w:color w:val="000000"/>
                <w:kern w:val="0"/>
              </w:rPr>
              <w:t>类）相关实验和研究，必须在</w:t>
            </w:r>
            <w:r w:rsidRPr="00547313">
              <w:rPr>
                <w:color w:val="000000"/>
                <w:kern w:val="0"/>
              </w:rPr>
              <w:t>BSL-3/ABSL-3</w:t>
            </w:r>
            <w:r w:rsidRPr="00547313">
              <w:rPr>
                <w:rFonts w:cs="宋体" w:hint="eastAsia"/>
                <w:color w:val="000000"/>
                <w:kern w:val="0"/>
              </w:rPr>
              <w:t>、</w:t>
            </w:r>
            <w:r w:rsidRPr="00547313">
              <w:rPr>
                <w:color w:val="000000"/>
                <w:kern w:val="0"/>
              </w:rPr>
              <w:t>BSL-4/ABSL-4</w:t>
            </w:r>
            <w:r w:rsidRPr="008A7833">
              <w:rPr>
                <w:rFonts w:cs="宋体" w:hint="eastAsia"/>
                <w:color w:val="000000"/>
                <w:kern w:val="0"/>
              </w:rPr>
              <w:t>实验室</w:t>
            </w:r>
            <w:r w:rsidRPr="00547313">
              <w:rPr>
                <w:rFonts w:cs="宋体" w:hint="eastAsia"/>
                <w:color w:val="000000"/>
                <w:kern w:val="0"/>
              </w:rPr>
              <w:t>中进行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BB0D61">
              <w:rPr>
                <w:color w:val="000000"/>
                <w:kern w:val="0"/>
              </w:rPr>
              <w:t>8.1.5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8A7833">
              <w:rPr>
                <w:rFonts w:cs="宋体" w:hint="eastAsia"/>
                <w:color w:val="000000"/>
                <w:kern w:val="0"/>
              </w:rPr>
              <w:t>开展低</w:t>
            </w:r>
            <w:r w:rsidRPr="00547313">
              <w:rPr>
                <w:rFonts w:cs="宋体" w:hint="eastAsia"/>
                <w:color w:val="000000"/>
                <w:kern w:val="0"/>
              </w:rPr>
              <w:t>致病性病原微生物（列入三类、四类），或经灭活的高致病性感染性材料的</w:t>
            </w:r>
            <w:r w:rsidRPr="00BB0D61">
              <w:rPr>
                <w:rFonts w:cs="宋体" w:hint="eastAsia"/>
                <w:color w:val="000000"/>
                <w:kern w:val="0"/>
              </w:rPr>
              <w:t>相关实验和研究，</w:t>
            </w:r>
            <w:r w:rsidRPr="008A7833">
              <w:rPr>
                <w:rFonts w:cs="宋体" w:hint="eastAsia"/>
                <w:color w:val="000000"/>
                <w:kern w:val="0"/>
              </w:rPr>
              <w:t>必须在</w:t>
            </w:r>
            <w:r w:rsidRPr="00547313">
              <w:rPr>
                <w:color w:val="000000"/>
                <w:kern w:val="0"/>
              </w:rPr>
              <w:t>BSL-1</w:t>
            </w:r>
            <w:r w:rsidRPr="00BB0D61">
              <w:rPr>
                <w:color w:val="000000"/>
                <w:kern w:val="0"/>
              </w:rPr>
              <w:t>/ ABSL-1</w:t>
            </w:r>
            <w:r w:rsidRPr="008A7833">
              <w:rPr>
                <w:rFonts w:cs="宋体" w:hint="eastAsia"/>
                <w:color w:val="000000"/>
                <w:kern w:val="0"/>
              </w:rPr>
              <w:t>及以上</w:t>
            </w:r>
            <w:r w:rsidRPr="00547313">
              <w:rPr>
                <w:rFonts w:cs="宋体" w:hint="eastAsia"/>
                <w:color w:val="000000"/>
                <w:kern w:val="0"/>
              </w:rPr>
              <w:t>等级实验室中进行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8.1.6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饲养实验动物的场所应有资质证书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D13C4F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AC230F">
              <w:rPr>
                <w:color w:val="000000"/>
                <w:kern w:val="0"/>
              </w:rPr>
              <w:t>8.</w:t>
            </w:r>
            <w:r w:rsidRPr="00D13C4F">
              <w:rPr>
                <w:color w:val="000000"/>
                <w:kern w:val="0"/>
              </w:rPr>
              <w:t>1.7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D13C4F">
              <w:rPr>
                <w:rFonts w:cs="宋体" w:hint="eastAsia"/>
                <w:color w:val="000000"/>
                <w:kern w:val="0"/>
              </w:rPr>
              <w:t>实验动物</w:t>
            </w:r>
            <w:r w:rsidRPr="00413930">
              <w:rPr>
                <w:rFonts w:cs="宋体" w:hint="eastAsia"/>
                <w:color w:val="000000"/>
                <w:kern w:val="0"/>
              </w:rPr>
              <w:t>系从具有资质的单位购买的，具有合格证明</w:t>
            </w:r>
          </w:p>
          <w:p w:rsidR="00FF08A7" w:rsidRPr="00AC230F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具有实验动物使用许可证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AC230F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8.1.8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D13C4F" w:rsidRDefault="00FF08A7" w:rsidP="00E1186F">
            <w:pPr>
              <w:widowControl/>
              <w:spacing w:line="240" w:lineRule="exact"/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实验动物的使用必须要有使用许可证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8.2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设施与场所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8.2.1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实验室安全防范设施达到安全要求，对</w:t>
            </w:r>
            <w:r w:rsidRPr="00547313">
              <w:rPr>
                <w:color w:val="000000"/>
                <w:kern w:val="0"/>
              </w:rPr>
              <w:t>BSL-2</w:t>
            </w:r>
            <w:r w:rsidRPr="00BB0D61">
              <w:rPr>
                <w:color w:val="000000"/>
                <w:kern w:val="0"/>
              </w:rPr>
              <w:t>/A</w:t>
            </w:r>
            <w:r w:rsidRPr="008A7833">
              <w:rPr>
                <w:color w:val="000000"/>
                <w:kern w:val="0"/>
              </w:rPr>
              <w:t>BSL-2</w:t>
            </w:r>
            <w:r w:rsidRPr="00547313">
              <w:rPr>
                <w:rFonts w:cs="宋体" w:hint="eastAsia"/>
                <w:color w:val="000000"/>
                <w:kern w:val="0"/>
              </w:rPr>
              <w:t>及以上等级实验室需有门禁和准入</w:t>
            </w:r>
            <w:r>
              <w:rPr>
                <w:rFonts w:cs="宋体" w:hint="eastAsia"/>
                <w:color w:val="000000"/>
                <w:kern w:val="0"/>
              </w:rPr>
              <w:t>制度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8.2.2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配有符合相应生物安全等级要求的生物安全柜，定期检查生物安全柜风速及高效空气微粒过滤器</w:t>
            </w:r>
            <w:r w:rsidRPr="008A7833">
              <w:rPr>
                <w:rFonts w:cs="宋体" w:hint="eastAsia"/>
                <w:color w:val="000000"/>
                <w:kern w:val="0"/>
              </w:rPr>
              <w:t>性能，并做好了记录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8.2.3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储存病原微生物的场所或储柜配备防盗设施，并安装监控报警装置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8.2.4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有高压灭菌器，并能正常工作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8.2.5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安装了防虫纱窗、入口处有挡鼠板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8.3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操作与管理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8.3.1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高致病性病原微生物采购前需经行业主管部门批准，有记录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8.3.2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实验室自行分离</w:t>
            </w:r>
            <w:r w:rsidRPr="008A7833">
              <w:rPr>
                <w:rFonts w:cs="宋体" w:hint="eastAsia"/>
                <w:color w:val="000000"/>
                <w:kern w:val="0"/>
              </w:rPr>
              <w:t>的高</w:t>
            </w:r>
            <w:r w:rsidRPr="00547313">
              <w:rPr>
                <w:rFonts w:cs="宋体" w:hint="eastAsia"/>
                <w:color w:val="000000"/>
                <w:kern w:val="0"/>
              </w:rPr>
              <w:t>致病性病原微生物，需报卫生或农业主管部门批准，方可保藏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8.3.3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有病原微生物保藏</w:t>
            </w:r>
            <w:r w:rsidRPr="008A7833">
              <w:rPr>
                <w:rFonts w:cs="宋体" w:hint="eastAsia"/>
                <w:color w:val="000000"/>
                <w:kern w:val="0"/>
              </w:rPr>
              <w:t>、实验使用、</w:t>
            </w:r>
            <w:r w:rsidRPr="00547313">
              <w:rPr>
                <w:rFonts w:cs="宋体" w:hint="eastAsia"/>
                <w:color w:val="000000"/>
                <w:kern w:val="0"/>
              </w:rPr>
              <w:t>销毁</w:t>
            </w:r>
            <w:r w:rsidRPr="00BB0D61">
              <w:rPr>
                <w:rFonts w:cs="宋体" w:hint="eastAsia"/>
                <w:color w:val="000000"/>
                <w:kern w:val="0"/>
              </w:rPr>
              <w:t>的记录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8.3.4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在合适的生物安全柜中进行实验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8.3.5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对病原微生物的操作具有相应的个人防护措施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8.3.6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8A7833">
              <w:rPr>
                <w:color w:val="000000"/>
                <w:kern w:val="0"/>
              </w:rPr>
              <w:t>BSL-2 /ABSL-2</w:t>
            </w:r>
            <w:r w:rsidRPr="00547313">
              <w:rPr>
                <w:rFonts w:cs="宋体" w:hint="eastAsia"/>
                <w:color w:val="000000"/>
                <w:kern w:val="0"/>
              </w:rPr>
              <w:t>及以上等级实验室，开展病原微生物的相关实验活动应有风险评估和应急预案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8.3.7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</w:rPr>
              <w:t>禁止戴实验防护手套操作未受潜在感染性生物材料污染的设施设备（包括门窗、开关、仪器、冰箱、电脑</w:t>
            </w:r>
            <w:r>
              <w:rPr>
                <w:rFonts w:cs="宋体" w:hint="eastAsia"/>
                <w:color w:val="000000"/>
              </w:rPr>
              <w:t>、电话</w:t>
            </w:r>
            <w:r w:rsidRPr="00547313">
              <w:rPr>
                <w:rFonts w:cs="宋体" w:hint="eastAsia"/>
                <w:color w:val="000000"/>
              </w:rPr>
              <w:t>等）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AC230F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AC230F">
              <w:rPr>
                <w:color w:val="000000"/>
                <w:kern w:val="0"/>
              </w:rPr>
              <w:t>8.3.8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D13C4F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</w:rPr>
            </w:pPr>
            <w:r w:rsidRPr="00D13C4F">
              <w:rPr>
                <w:rFonts w:cs="宋体" w:hint="eastAsia"/>
                <w:color w:val="000000"/>
              </w:rPr>
              <w:t>用于解剖的</w:t>
            </w:r>
            <w:r w:rsidRPr="00413930">
              <w:rPr>
                <w:rFonts w:cs="宋体" w:hint="eastAsia"/>
                <w:color w:val="000000"/>
              </w:rPr>
              <w:t>实验</w:t>
            </w:r>
            <w:r w:rsidRPr="00AC230F">
              <w:rPr>
                <w:rFonts w:cs="宋体" w:hint="eastAsia"/>
                <w:color w:val="000000"/>
              </w:rPr>
              <w:t>动物须经过检验检疫</w:t>
            </w:r>
            <w:r w:rsidRPr="00D13C4F">
              <w:rPr>
                <w:rFonts w:cs="宋体" w:hint="eastAsia"/>
                <w:color w:val="000000"/>
              </w:rPr>
              <w:t>合格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AC230F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AC230F">
              <w:rPr>
                <w:color w:val="000000"/>
                <w:kern w:val="0"/>
              </w:rPr>
              <w:t>8.3.9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D13C4F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</w:rPr>
            </w:pPr>
            <w:r w:rsidRPr="00D13C4F">
              <w:rPr>
                <w:rFonts w:cs="宋体" w:hint="eastAsia"/>
                <w:color w:val="000000"/>
              </w:rPr>
              <w:t>解剖实验</w:t>
            </w:r>
            <w:r w:rsidRPr="00413930">
              <w:rPr>
                <w:rFonts w:cs="宋体" w:hint="eastAsia"/>
                <w:color w:val="000000"/>
              </w:rPr>
              <w:t>动物</w:t>
            </w:r>
            <w:r w:rsidRPr="00AC230F">
              <w:rPr>
                <w:rFonts w:cs="宋体" w:hint="eastAsia"/>
                <w:color w:val="000000"/>
              </w:rPr>
              <w:t>时，</w:t>
            </w:r>
            <w:r w:rsidRPr="00D13C4F">
              <w:rPr>
                <w:rFonts w:cs="宋体" w:hint="eastAsia"/>
                <w:color w:val="000000"/>
              </w:rPr>
              <w:t>必须做好个人防护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8.4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生物实验废弃物处置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8.4.1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涉及病原微生物的实验室废弃物</w:t>
            </w:r>
            <w:r w:rsidRPr="00002DE2">
              <w:rPr>
                <w:rFonts w:cs="宋体" w:hint="eastAsia"/>
                <w:color w:val="000000"/>
                <w:kern w:val="0"/>
              </w:rPr>
              <w:t>必须进行高温高压灭菌或化学浸泡灭菌处理</w:t>
            </w:r>
            <w:r>
              <w:rPr>
                <w:rFonts w:cs="宋体" w:hint="eastAsia"/>
                <w:color w:val="000000"/>
                <w:kern w:val="0"/>
              </w:rPr>
              <w:t>，并</w:t>
            </w:r>
            <w:r w:rsidRPr="008A7833">
              <w:rPr>
                <w:rFonts w:cs="宋体" w:hint="eastAsia"/>
                <w:color w:val="000000"/>
                <w:kern w:val="0"/>
              </w:rPr>
              <w:t>有处置的记录</w:t>
            </w:r>
            <w:r>
              <w:rPr>
                <w:rFonts w:cs="宋体" w:hint="eastAsia"/>
                <w:color w:val="000000"/>
                <w:kern w:val="0"/>
              </w:rPr>
              <w:t>。</w:t>
            </w:r>
            <w:r w:rsidRPr="00547313">
              <w:rPr>
                <w:rFonts w:cs="宋体" w:hint="eastAsia"/>
                <w:color w:val="000000"/>
                <w:kern w:val="0"/>
              </w:rPr>
              <w:t>高致病性生物材料废弃物处置实现溯源追踪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8.4.</w:t>
            </w: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对生化固废分类</w:t>
            </w:r>
            <w:r w:rsidRPr="00547313">
              <w:rPr>
                <w:rFonts w:cs="宋体" w:hint="eastAsia"/>
                <w:color w:val="000000"/>
                <w:kern w:val="0"/>
              </w:rPr>
              <w:t>（一般生化固废使用黄色塑料袋存放，但刀片、移液枪头等尖锐物应使用纸板箱外包装以避免穿透伤人）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8.4.</w:t>
            </w: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对生物实验废弃物进行了分类收集，并贴好标签，及时送学校</w:t>
            </w:r>
            <w:r w:rsidRPr="00547313">
              <w:rPr>
                <w:rFonts w:cs="宋体" w:hint="eastAsia"/>
                <w:color w:val="000000"/>
                <w:kern w:val="0"/>
              </w:rPr>
              <w:t>收集点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8.4.</w:t>
            </w:r>
            <w:r>
              <w:rPr>
                <w:color w:val="000000"/>
                <w:kern w:val="0"/>
              </w:rPr>
              <w:t>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与有资质的单位签约处置生化废弃物，有处置记录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8.4.</w:t>
            </w:r>
            <w:r>
              <w:rPr>
                <w:color w:val="000000"/>
                <w:kern w:val="0"/>
              </w:rPr>
              <w:t>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无实验废弃物和生活垃圾混放现象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辐射安全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9.1</w:t>
            </w:r>
            <w:r>
              <w:rPr>
                <w:b/>
                <w:bCs/>
                <w:color w:val="000000"/>
                <w:kern w:val="0"/>
              </w:rPr>
              <w:t>.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实验室资质与人员要求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9.1.1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Del="00CD33FD" w:rsidRDefault="00FF08A7" w:rsidP="00E1186F">
            <w:pPr>
              <w:widowControl/>
              <w:spacing w:line="240" w:lineRule="exac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取得</w:t>
            </w:r>
            <w:r w:rsidRPr="00547313">
              <w:rPr>
                <w:color w:val="000000"/>
                <w:kern w:val="0"/>
              </w:rPr>
              <w:t>“</w:t>
            </w:r>
            <w:r w:rsidRPr="00547313">
              <w:rPr>
                <w:rFonts w:cs="宋体" w:hint="eastAsia"/>
                <w:color w:val="000000"/>
                <w:kern w:val="0"/>
              </w:rPr>
              <w:t>辐射安全许可证</w:t>
            </w:r>
            <w:r w:rsidRPr="00547313">
              <w:rPr>
                <w:color w:val="000000"/>
                <w:kern w:val="0"/>
              </w:rPr>
              <w:t>”</w:t>
            </w:r>
            <w:r w:rsidRPr="00547313">
              <w:rPr>
                <w:rFonts w:cs="宋体" w:hint="eastAsia"/>
                <w:color w:val="000000"/>
                <w:kern w:val="0"/>
              </w:rPr>
              <w:t>，并按规定在放射性核素种类和用量</w:t>
            </w:r>
            <w:r w:rsidRPr="00BB0D61">
              <w:rPr>
                <w:rFonts w:cs="宋体" w:hint="eastAsia"/>
                <w:color w:val="000000"/>
                <w:kern w:val="0"/>
              </w:rPr>
              <w:t>许可范围内开展实验</w:t>
            </w:r>
          </w:p>
        </w:tc>
        <w:tc>
          <w:tcPr>
            <w:tcW w:w="405" w:type="dxa"/>
            <w:vAlign w:val="center"/>
          </w:tcPr>
          <w:p w:rsidR="00FF08A7" w:rsidRPr="00547313" w:rsidDel="00CD33FD" w:rsidRDefault="00FF08A7" w:rsidP="00E1186F">
            <w:pPr>
              <w:widowControl/>
              <w:spacing w:line="240" w:lineRule="exact"/>
              <w:rPr>
                <w:rFonts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419" w:type="dxa"/>
            <w:vAlign w:val="center"/>
          </w:tcPr>
          <w:p w:rsidR="00FF08A7" w:rsidRPr="00547313" w:rsidDel="00CD33FD" w:rsidRDefault="00FF08A7" w:rsidP="00E1186F">
            <w:pPr>
              <w:widowControl/>
              <w:spacing w:line="240" w:lineRule="exact"/>
              <w:rPr>
                <w:rFonts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448" w:type="dxa"/>
            <w:vAlign w:val="center"/>
          </w:tcPr>
          <w:p w:rsidR="00FF08A7" w:rsidRPr="00547313" w:rsidDel="00CD33FD" w:rsidRDefault="00FF08A7" w:rsidP="00E1186F">
            <w:pPr>
              <w:widowControl/>
              <w:spacing w:line="240" w:lineRule="exact"/>
              <w:rPr>
                <w:rFonts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396" w:type="dxa"/>
            <w:vAlign w:val="center"/>
          </w:tcPr>
          <w:p w:rsidR="00FF08A7" w:rsidRPr="00547313" w:rsidDel="00CD33FD" w:rsidRDefault="00FF08A7" w:rsidP="00E1186F">
            <w:pPr>
              <w:widowControl/>
              <w:spacing w:line="240" w:lineRule="exact"/>
              <w:rPr>
                <w:rFonts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FF08A7" w:rsidRPr="00547313" w:rsidDel="00CD33FD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9.1.2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放射性操作人员经过了专门培训，有《辐射安全与防护培训学习合格证书》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9.1.3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涉辐人员按时参加职业体检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9.1.4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涉辐人员佩带个人剂量计，并按时进行剂量检测</w:t>
            </w:r>
            <w:r w:rsidRPr="00BB0D61">
              <w:rPr>
                <w:rFonts w:cs="宋体" w:hint="eastAsia"/>
                <w:color w:val="000000"/>
                <w:kern w:val="0"/>
              </w:rPr>
              <w:t>（</w:t>
            </w:r>
            <w:r w:rsidRPr="008A7833">
              <w:rPr>
                <w:color w:val="000000"/>
                <w:kern w:val="0"/>
              </w:rPr>
              <w:t>3</w:t>
            </w:r>
            <w:r w:rsidRPr="008A7833">
              <w:rPr>
                <w:rFonts w:cs="宋体" w:hint="eastAsia"/>
                <w:color w:val="000000"/>
                <w:kern w:val="0"/>
              </w:rPr>
              <w:t>个月一次</w:t>
            </w:r>
            <w:r w:rsidRPr="00547313">
              <w:rPr>
                <w:rFonts w:cs="宋体" w:hint="eastAsia"/>
                <w:color w:val="000000"/>
                <w:kern w:val="0"/>
              </w:rPr>
              <w:t>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9.2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Del="00CD33FD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场所与设施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9.2.1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辐照设施设备具有能正常工作的安全连锁装置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9.2.3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涉辐实验场所（放射性物质、</w:t>
            </w:r>
            <w:r w:rsidRPr="00547313">
              <w:rPr>
                <w:color w:val="000000"/>
                <w:kern w:val="0"/>
              </w:rPr>
              <w:t>X</w:t>
            </w:r>
            <w:r w:rsidRPr="00547313">
              <w:rPr>
                <w:rFonts w:cs="宋体" w:hint="eastAsia"/>
                <w:color w:val="000000"/>
                <w:kern w:val="0"/>
              </w:rPr>
              <w:t>射线装置）有安全警示标识、警戒线和剂量报警仪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9.2</w:t>
            </w:r>
            <w:r>
              <w:rPr>
                <w:color w:val="000000"/>
                <w:kern w:val="0"/>
              </w:rPr>
              <w:t>.</w:t>
            </w:r>
            <w:r w:rsidRPr="00BB0D61">
              <w:rPr>
                <w:color w:val="000000"/>
                <w:kern w:val="0"/>
              </w:rPr>
              <w:t>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涉辐实验场所配备各种辐射防护器材和表面污染监测仪器设备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9.2.5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有</w:t>
            </w:r>
            <w:r w:rsidRPr="00547313">
              <w:rPr>
                <w:rFonts w:cs="宋体" w:hint="eastAsia"/>
                <w:color w:val="000000"/>
                <w:kern w:val="0"/>
              </w:rPr>
              <w:t>放放射性废弃物的</w:t>
            </w:r>
            <w:r>
              <w:rPr>
                <w:rFonts w:cs="宋体" w:hint="eastAsia"/>
                <w:color w:val="000000"/>
                <w:kern w:val="0"/>
              </w:rPr>
              <w:t>，不能随意丢弃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9.2.</w:t>
            </w:r>
            <w:r w:rsidRPr="00BB0D61">
              <w:rPr>
                <w:color w:val="000000"/>
                <w:kern w:val="0"/>
              </w:rPr>
              <w:t>6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非密封性放射性实验室有衰减池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9.3.1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放射源和放射性物质变更有及时登记台帐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9.4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辐照装置、射线探伤仪和非密封性放射性实验操作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9.4.1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ascii="Times New Roman" w:hAnsi="Times New Roman" w:cs="Times New Roman"/>
                <w:color w:val="000000"/>
                <w:kern w:val="0"/>
              </w:rPr>
              <w:t>Г</w:t>
            </w:r>
            <w:r w:rsidRPr="00547313">
              <w:rPr>
                <w:rFonts w:cs="宋体" w:hint="eastAsia"/>
                <w:color w:val="000000"/>
                <w:kern w:val="0"/>
              </w:rPr>
              <w:t>辐照装置有符合国家相关规定的操作规程、安保方案及应急预案，并遵照执行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9.4</w:t>
            </w:r>
            <w:r>
              <w:rPr>
                <w:color w:val="000000"/>
                <w:kern w:val="0"/>
              </w:rPr>
              <w:t>.</w:t>
            </w:r>
            <w:r w:rsidRPr="00BB0D61">
              <w:rPr>
                <w:color w:val="000000"/>
                <w:kern w:val="0"/>
              </w:rPr>
              <w:t>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ascii="Times New Roman" w:hAnsi="Times New Roman" w:cs="宋体" w:hint="eastAsia"/>
                <w:color w:val="000000"/>
                <w:kern w:val="0"/>
              </w:rPr>
              <w:t>电子加速器</w:t>
            </w:r>
            <w:r w:rsidRPr="00547313">
              <w:rPr>
                <w:rFonts w:cs="宋体" w:hint="eastAsia"/>
                <w:color w:val="000000"/>
                <w:kern w:val="0"/>
              </w:rPr>
              <w:t>辐照装置有符合国家相关规定的操作规程、安保方案及应急预案，并遵照执行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9.4</w:t>
            </w:r>
            <w:r>
              <w:rPr>
                <w:color w:val="000000"/>
                <w:kern w:val="0"/>
              </w:rPr>
              <w:t>.</w:t>
            </w:r>
            <w:r w:rsidRPr="00BB0D61">
              <w:rPr>
                <w:color w:val="000000"/>
                <w:kern w:val="0"/>
              </w:rPr>
              <w:t>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非密封性放射性实验操作有符合国家相关规定的操作规程，并遵照执行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9.5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放射性实验废物的处置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9.5.1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BB0D61">
              <w:rPr>
                <w:rFonts w:cs="宋体" w:hint="eastAsia"/>
                <w:color w:val="000000"/>
                <w:kern w:val="0"/>
              </w:rPr>
              <w:t>报废含有放射源或可产生放射性的</w:t>
            </w:r>
            <w:r w:rsidRPr="008A7833">
              <w:rPr>
                <w:rFonts w:cs="宋体" w:hint="eastAsia"/>
                <w:color w:val="000000"/>
                <w:kern w:val="0"/>
              </w:rPr>
              <w:t>设备，需报学校管理部门同意</w:t>
            </w:r>
            <w:r w:rsidRPr="00547313">
              <w:rPr>
                <w:rFonts w:cs="宋体" w:hint="eastAsia"/>
                <w:color w:val="000000"/>
                <w:kern w:val="0"/>
              </w:rPr>
              <w:t>，并按国家规定进行退役处置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9.5</w:t>
            </w:r>
            <w:r>
              <w:rPr>
                <w:color w:val="000000"/>
                <w:kern w:val="0"/>
              </w:rPr>
              <w:t>.</w:t>
            </w:r>
            <w:r w:rsidRPr="00BB0D61">
              <w:rPr>
                <w:color w:val="000000"/>
                <w:kern w:val="0"/>
              </w:rPr>
              <w:t>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8A7833">
              <w:rPr>
                <w:rFonts w:cs="宋体" w:hint="eastAsia"/>
                <w:color w:val="000000"/>
                <w:kern w:val="0"/>
              </w:rPr>
              <w:t>中、长半衰期核素固液废弃物有符合国家相关规定的</w:t>
            </w:r>
            <w:r w:rsidRPr="00547313">
              <w:rPr>
                <w:rFonts w:cs="宋体" w:hint="eastAsia"/>
                <w:color w:val="000000"/>
                <w:kern w:val="0"/>
              </w:rPr>
              <w:t>处置方案或回收</w:t>
            </w:r>
            <w:r w:rsidRPr="00BB0D61">
              <w:rPr>
                <w:rFonts w:cs="宋体" w:hint="eastAsia"/>
                <w:color w:val="000000"/>
                <w:kern w:val="0"/>
              </w:rPr>
              <w:t>协议，并有处置记录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9.5</w:t>
            </w:r>
            <w:r>
              <w:rPr>
                <w:color w:val="000000"/>
                <w:kern w:val="0"/>
              </w:rPr>
              <w:t>.</w:t>
            </w:r>
            <w:r w:rsidRPr="00BB0D61">
              <w:rPr>
                <w:color w:val="000000"/>
                <w:kern w:val="0"/>
              </w:rPr>
              <w:t>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8A7833">
              <w:rPr>
                <w:rFonts w:cs="宋体" w:hint="eastAsia"/>
                <w:color w:val="000000"/>
                <w:kern w:val="0"/>
              </w:rPr>
              <w:t>短半衰期核素固液废弃物放置</w:t>
            </w:r>
            <w:r w:rsidRPr="00547313">
              <w:rPr>
                <w:color w:val="000000"/>
                <w:kern w:val="0"/>
              </w:rPr>
              <w:t>10</w:t>
            </w:r>
            <w:r w:rsidRPr="00547313">
              <w:rPr>
                <w:rFonts w:cs="宋体" w:hint="eastAsia"/>
                <w:color w:val="000000"/>
                <w:kern w:val="0"/>
              </w:rPr>
              <w:t>个半衰期经检测达标后作为普通废物处理，并有处置记录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9.</w:t>
            </w:r>
            <w:r>
              <w:rPr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8A7833">
              <w:rPr>
                <w:rFonts w:cs="宋体" w:hint="eastAsia"/>
                <w:b/>
                <w:bCs/>
                <w:color w:val="000000"/>
                <w:kern w:val="0"/>
              </w:rPr>
              <w:t>激光安全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9.</w:t>
            </w:r>
            <w:r>
              <w:rPr>
                <w:color w:val="000000"/>
                <w:kern w:val="0"/>
              </w:rPr>
              <w:t>6</w:t>
            </w:r>
            <w:r w:rsidRPr="00BB0D61">
              <w:rPr>
                <w:color w:val="000000"/>
                <w:kern w:val="0"/>
              </w:rPr>
              <w:t>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8A7833">
              <w:rPr>
                <w:rFonts w:cs="宋体" w:hint="eastAsia"/>
                <w:color w:val="000000"/>
                <w:kern w:val="0"/>
              </w:rPr>
              <w:t>有激光器的安全使用方法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9.</w:t>
            </w:r>
            <w:r>
              <w:rPr>
                <w:color w:val="000000"/>
                <w:kern w:val="0"/>
              </w:rPr>
              <w:t>6</w:t>
            </w:r>
            <w:r w:rsidRPr="00BB0D61">
              <w:rPr>
                <w:color w:val="000000"/>
                <w:kern w:val="0"/>
              </w:rPr>
              <w:t>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8A7833">
              <w:rPr>
                <w:rFonts w:cs="宋体" w:hint="eastAsia"/>
                <w:color w:val="000000"/>
                <w:kern w:val="0"/>
              </w:rPr>
              <w:t>功率较大的激光器有互锁装置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9.</w:t>
            </w:r>
            <w:r>
              <w:rPr>
                <w:color w:val="000000"/>
                <w:kern w:val="0"/>
              </w:rPr>
              <w:t>6</w:t>
            </w:r>
            <w:r w:rsidRPr="00BB0D61">
              <w:rPr>
                <w:color w:val="000000"/>
                <w:kern w:val="0"/>
              </w:rPr>
              <w:t>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8A7833">
              <w:rPr>
                <w:rFonts w:cs="宋体" w:hint="eastAsia"/>
                <w:color w:val="000000"/>
                <w:kern w:val="0"/>
              </w:rPr>
              <w:t>操作人员有穿戴防护眼镜等防护用品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9.</w:t>
            </w:r>
            <w:r>
              <w:rPr>
                <w:color w:val="000000"/>
                <w:kern w:val="0"/>
              </w:rPr>
              <w:t>6.</w:t>
            </w:r>
            <w:r w:rsidRPr="00BB0D61">
              <w:rPr>
                <w:color w:val="000000"/>
                <w:kern w:val="0"/>
              </w:rPr>
              <w:t>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8A7833">
              <w:rPr>
                <w:rFonts w:cs="宋体" w:hint="eastAsia"/>
                <w:color w:val="000000"/>
                <w:kern w:val="0"/>
              </w:rPr>
              <w:t>操作人员不带手表等能反光的物品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9.</w:t>
            </w:r>
            <w:r>
              <w:rPr>
                <w:color w:val="000000"/>
                <w:kern w:val="0"/>
              </w:rPr>
              <w:t>6</w:t>
            </w:r>
            <w:r w:rsidRPr="00BB0D61">
              <w:rPr>
                <w:color w:val="000000"/>
                <w:kern w:val="0"/>
              </w:rPr>
              <w:t>.5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激光照射方向不会对他人造成伤害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仪器设备安全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10.1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常规管理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10.1.1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建立了设备台帐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10.1.2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高功率的设备与电路容量相匹配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10.1.3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仪器设备接地良好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10.1.4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仪器设备使用完后，及时关闭电源</w:t>
            </w:r>
            <w:r>
              <w:rPr>
                <w:rFonts w:cs="宋体" w:hint="eastAsia"/>
                <w:color w:val="000000"/>
                <w:kern w:val="0"/>
              </w:rPr>
              <w:t>，</w:t>
            </w:r>
            <w:r w:rsidRPr="00AC230F">
              <w:rPr>
                <w:rFonts w:cs="宋体" w:hint="eastAsia"/>
                <w:color w:val="000000"/>
                <w:kern w:val="0"/>
              </w:rPr>
              <w:t>包括</w:t>
            </w:r>
            <w:r>
              <w:rPr>
                <w:rFonts w:cs="宋体" w:hint="eastAsia"/>
                <w:color w:val="000000"/>
                <w:kern w:val="0"/>
              </w:rPr>
              <w:t>电脑显示器电源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10.1.5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有仪器设备运行、维护的记录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10.1.6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对于高温、高压、高速运动、电磁辐射等特殊设备，有安全警示标识，并配备相应安全防护设施（如防护罩、防护栏</w:t>
            </w:r>
            <w:r>
              <w:rPr>
                <w:rFonts w:cs="宋体" w:hint="eastAsia"/>
                <w:color w:val="000000"/>
                <w:kern w:val="0"/>
              </w:rPr>
              <w:t>、自屏蔽设施</w:t>
            </w:r>
            <w:r w:rsidRPr="00547313">
              <w:rPr>
                <w:rFonts w:cs="宋体" w:hint="eastAsia"/>
                <w:color w:val="000000"/>
                <w:kern w:val="0"/>
              </w:rPr>
              <w:t>等）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10.1.7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无电脑、空调、饮水机等随意开机过夜现象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10.1.8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对于不能断电的特殊仪器设备，采取了必要的防护措施（如双路供电、不间断电源等）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10.1.9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特种设备（锅炉、</w:t>
            </w:r>
            <w:r>
              <w:rPr>
                <w:rFonts w:cs="宋体" w:hint="eastAsia"/>
                <w:color w:val="000000"/>
                <w:kern w:val="0"/>
              </w:rPr>
              <w:t>压力容器</w:t>
            </w:r>
            <w:r w:rsidRPr="00547313">
              <w:rPr>
                <w:rFonts w:cs="宋体" w:hint="eastAsia"/>
                <w:color w:val="000000"/>
                <w:kern w:val="0"/>
              </w:rPr>
              <w:t>、</w:t>
            </w:r>
            <w:r>
              <w:rPr>
                <w:rFonts w:cs="宋体" w:hint="eastAsia"/>
                <w:color w:val="000000"/>
                <w:kern w:val="0"/>
              </w:rPr>
              <w:t>起重机械</w:t>
            </w:r>
            <w:r w:rsidRPr="00547313">
              <w:rPr>
                <w:rFonts w:cs="宋体" w:hint="eastAsia"/>
                <w:color w:val="000000"/>
                <w:kern w:val="0"/>
              </w:rPr>
              <w:t>等）需有资质单位出具的检定证明，操作人员需持证上岗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10.1.10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1B35EB">
              <w:rPr>
                <w:rFonts w:cs="宋体" w:hint="eastAsia"/>
                <w:color w:val="000000"/>
                <w:kern w:val="0"/>
              </w:rPr>
              <w:t>电子天平不放在阳光直射的地方，且用后及时清理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10.2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冰箱管理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10.2.1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贮存危险化学品的冰箱为防爆冰箱或经过防爆改造的冰箱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10.2.2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冰箱内存放的物品必须标识明确（包括品名、使用人、日期等），并经常清理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10.2.3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冰箱内储存试剂必须密封好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10.2.4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无冰箱超期服役现象（一般使用期限控制为</w:t>
            </w:r>
            <w:r w:rsidRPr="00547313">
              <w:rPr>
                <w:color w:val="000000"/>
                <w:kern w:val="0"/>
              </w:rPr>
              <w:t>10</w:t>
            </w:r>
            <w:r w:rsidRPr="00547313">
              <w:rPr>
                <w:rFonts w:cs="宋体" w:hint="eastAsia"/>
                <w:color w:val="000000"/>
                <w:kern w:val="0"/>
              </w:rPr>
              <w:t>年）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10.2.5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不在冰箱周围堆放杂物，影响散热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10.2.6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实验室冰箱中不放置食品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10.3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bookmarkStart w:id="0" w:name="OLE_LINK2"/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烘箱与电阻炉</w:t>
            </w:r>
            <w:bookmarkEnd w:id="0"/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管理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10.3.1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烘箱、电阻炉无超期服役现象（一般使用期限控制为</w:t>
            </w:r>
            <w:r w:rsidRPr="00547313">
              <w:rPr>
                <w:color w:val="000000"/>
                <w:kern w:val="0"/>
              </w:rPr>
              <w:t>12</w:t>
            </w:r>
            <w:r w:rsidRPr="00547313">
              <w:rPr>
                <w:rFonts w:cs="宋体" w:hint="eastAsia"/>
                <w:color w:val="000000"/>
                <w:kern w:val="0"/>
              </w:rPr>
              <w:t>年）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10.3.2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不使用有故障、破损的烘箱、电阻炉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10.3.3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不在烘箱等加热设备内烘烤易燃易爆化学试剂、塑料等易燃物品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10.3.4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不使用塑料筐盛放实验物品在烘箱等加热设备内烘烤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10.3.5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烘箱、电阻炉等附近不存放气体钢瓶、易燃易爆化学品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10.3.6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烘箱、电阻炉等加热设备周围</w:t>
            </w:r>
            <w:r>
              <w:rPr>
                <w:rFonts w:cs="宋体" w:hint="eastAsia"/>
                <w:color w:val="000000"/>
                <w:kern w:val="0"/>
              </w:rPr>
              <w:t>要有一定的散热空间，不存在</w:t>
            </w:r>
            <w:r w:rsidRPr="00547313">
              <w:rPr>
                <w:rFonts w:cs="宋体" w:hint="eastAsia"/>
                <w:color w:val="000000"/>
                <w:kern w:val="0"/>
              </w:rPr>
              <w:t>堆放杂物，影响散热</w:t>
            </w:r>
            <w:r>
              <w:rPr>
                <w:rFonts w:cs="宋体" w:hint="eastAsia"/>
                <w:color w:val="000000"/>
                <w:kern w:val="0"/>
              </w:rPr>
              <w:t>的现象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10.3.7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使用烘箱、电阻炉等加热设备时有人值守（或</w:t>
            </w:r>
            <w:r w:rsidRPr="00547313">
              <w:rPr>
                <w:color w:val="000000"/>
                <w:kern w:val="0"/>
              </w:rPr>
              <w:t>10-15</w:t>
            </w:r>
            <w:r w:rsidRPr="00547313">
              <w:rPr>
                <w:rFonts w:cs="宋体" w:hint="eastAsia"/>
                <w:color w:val="000000"/>
                <w:kern w:val="0"/>
              </w:rPr>
              <w:t>分钟检查一次）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413930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10.3.8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1B35EB">
              <w:rPr>
                <w:rFonts w:cs="宋体" w:hint="eastAsia"/>
                <w:color w:val="000000"/>
                <w:kern w:val="0"/>
              </w:rPr>
              <w:t>无烘箱</w:t>
            </w:r>
            <w:r w:rsidRPr="00AC230F">
              <w:rPr>
                <w:rFonts w:cs="宋体" w:hint="eastAsia"/>
                <w:color w:val="000000"/>
                <w:kern w:val="0"/>
              </w:rPr>
              <w:t>位置</w:t>
            </w:r>
            <w:r w:rsidRPr="001B35EB">
              <w:rPr>
                <w:rFonts w:cs="宋体" w:hint="eastAsia"/>
                <w:color w:val="000000"/>
                <w:kern w:val="0"/>
              </w:rPr>
              <w:t>放置过低</w:t>
            </w:r>
            <w:r w:rsidRPr="00413930">
              <w:rPr>
                <w:rFonts w:cs="宋体" w:hint="eastAsia"/>
                <w:color w:val="000000"/>
                <w:kern w:val="0"/>
              </w:rPr>
              <w:t>、</w:t>
            </w:r>
            <w:r w:rsidRPr="001B35EB">
              <w:rPr>
                <w:rFonts w:cs="宋体" w:hint="eastAsia"/>
                <w:color w:val="000000"/>
                <w:kern w:val="0"/>
              </w:rPr>
              <w:t>影响物品取用的现象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413930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10.3.9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烘箱、电阻炉等不直接放置在木桌、木板等易燃物品上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10.4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b/>
                <w:bCs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明火电炉与电吹风</w:t>
            </w:r>
            <w:r w:rsidRPr="00AC230F">
              <w:rPr>
                <w:rFonts w:cs="宋体" w:hint="eastAsia"/>
                <w:b/>
                <w:bCs/>
                <w:color w:val="000000"/>
                <w:kern w:val="0"/>
              </w:rPr>
              <w:t>等</w:t>
            </w: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管理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10.4.1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Del="00A06ECF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有</w:t>
            </w:r>
            <w:r w:rsidRPr="00547313">
              <w:rPr>
                <w:rFonts w:cs="宋体" w:hint="eastAsia"/>
                <w:color w:val="000000"/>
                <w:kern w:val="0"/>
              </w:rPr>
              <w:t>使用明火电炉的，其使用位置周围无易燃物品，并配备了灭火器、砂桶等灭火设施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10.4.</w:t>
            </w: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不使用明火电炉加热易燃易爆溶剂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10.4.</w:t>
            </w: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明火电炉、电吹风、电热枪</w:t>
            </w:r>
            <w:r>
              <w:rPr>
                <w:rFonts w:cs="宋体" w:hint="eastAsia"/>
                <w:color w:val="000000"/>
                <w:kern w:val="0"/>
              </w:rPr>
              <w:t>、电烙铁</w:t>
            </w:r>
            <w:r w:rsidRPr="00547313">
              <w:rPr>
                <w:rFonts w:cs="宋体" w:hint="eastAsia"/>
                <w:color w:val="000000"/>
                <w:kern w:val="0"/>
              </w:rPr>
              <w:t>等用毕，及时拔除电源插头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个人防护与其它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11.1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正确选用防护用品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11.1.1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穿实验服或防护服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11.1.2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按需要佩戴防护眼镜（如进行化学实验、有危险的机械操作等）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11.1.3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涉及化学和高温实验时，不得佩戴隐形眼镜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11.1.4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特殊场所按需佩戴了安全帽、防护帽，无长发飘散在外的现象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11.1.5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按需要</w:t>
            </w:r>
            <w:r>
              <w:rPr>
                <w:rFonts w:cs="宋体" w:hint="eastAsia"/>
                <w:color w:val="000000"/>
                <w:kern w:val="0"/>
              </w:rPr>
              <w:t>佩</w:t>
            </w:r>
            <w:r w:rsidRPr="00547313">
              <w:rPr>
                <w:rFonts w:cs="宋体" w:hint="eastAsia"/>
                <w:color w:val="000000"/>
                <w:kern w:val="0"/>
              </w:rPr>
              <w:t>戴防护手套（</w:t>
            </w:r>
            <w:r>
              <w:rPr>
                <w:rFonts w:cs="宋体" w:hint="eastAsia"/>
                <w:color w:val="000000"/>
                <w:kern w:val="0"/>
              </w:rPr>
              <w:t>涉及</w:t>
            </w:r>
            <w:r w:rsidRPr="00547313">
              <w:rPr>
                <w:rFonts w:cs="宋体" w:hint="eastAsia"/>
                <w:color w:val="000000"/>
                <w:kern w:val="0"/>
              </w:rPr>
              <w:t>不同的</w:t>
            </w:r>
            <w:r>
              <w:rPr>
                <w:rFonts w:cs="宋体" w:hint="eastAsia"/>
                <w:color w:val="000000"/>
                <w:kern w:val="0"/>
              </w:rPr>
              <w:t>有害</w:t>
            </w:r>
            <w:r w:rsidRPr="00547313">
              <w:rPr>
                <w:rFonts w:cs="宋体" w:hint="eastAsia"/>
                <w:color w:val="000000"/>
                <w:kern w:val="0"/>
              </w:rPr>
              <w:t>化学物质、病原微生物、高温和低温等），并正确选择不同种类和材质的手套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11.1.6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Del="00697175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在特殊的实验室使用呼吸器或面罩（如有挥发性毒物、溅射危险等），并正确选择种类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b/>
                <w:bCs/>
                <w:color w:val="000000"/>
                <w:kern w:val="0"/>
              </w:rPr>
            </w:pPr>
            <w:r w:rsidRPr="00547313">
              <w:rPr>
                <w:b/>
                <w:bCs/>
                <w:color w:val="000000"/>
                <w:kern w:val="0"/>
              </w:rPr>
              <w:t>11.2</w:t>
            </w:r>
          </w:p>
        </w:tc>
        <w:tc>
          <w:tcPr>
            <w:tcW w:w="8788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b/>
                <w:bCs/>
                <w:color w:val="000000"/>
                <w:kern w:val="0"/>
              </w:rPr>
              <w:t>其它</w:t>
            </w: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11.2.1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危险性实验（如高温、高压、高速运转等）时必须有两人在场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11.2.2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实验时不能脱岗，通宵实验须两人在场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11.2.3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实验室内无穿拖鞋、短裤等现象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11.2.4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非实验区（如电梯、办公室、休息室、会议室</w:t>
            </w:r>
            <w:r w:rsidRPr="00AC230F">
              <w:rPr>
                <w:rFonts w:cs="宋体" w:hint="eastAsia"/>
                <w:color w:val="000000"/>
                <w:kern w:val="0"/>
              </w:rPr>
              <w:t>、</w:t>
            </w:r>
            <w:r>
              <w:rPr>
                <w:rFonts w:cs="宋体" w:hint="eastAsia"/>
                <w:color w:val="000000"/>
                <w:kern w:val="0"/>
              </w:rPr>
              <w:t>餐厅</w:t>
            </w:r>
            <w:r w:rsidRPr="00547313">
              <w:rPr>
                <w:rFonts w:cs="宋体" w:hint="eastAsia"/>
                <w:color w:val="000000"/>
                <w:kern w:val="0"/>
              </w:rPr>
              <w:t>等）无穿戴实验服、实验手套等现象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11.2.5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Del="00CA3CE8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操作机床等旋转设备时，不穿戴长围巾、丝巾、领带等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11.2.6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手机、银行卡等不</w:t>
            </w:r>
            <w:r>
              <w:rPr>
                <w:rFonts w:cs="宋体" w:hint="eastAsia"/>
                <w:color w:val="000000"/>
                <w:kern w:val="0"/>
              </w:rPr>
              <w:t>带</w:t>
            </w:r>
            <w:r w:rsidRPr="00547313">
              <w:rPr>
                <w:rFonts w:cs="宋体" w:hint="eastAsia"/>
                <w:color w:val="000000"/>
                <w:kern w:val="0"/>
              </w:rPr>
              <w:t>入高磁场实验室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  <w:tr w:rsidR="00FF08A7" w:rsidRPr="00547313">
        <w:trPr>
          <w:trHeight w:val="285"/>
          <w:jc w:val="center"/>
        </w:trPr>
        <w:tc>
          <w:tcPr>
            <w:tcW w:w="6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color w:val="000000"/>
                <w:kern w:val="0"/>
              </w:rPr>
            </w:pPr>
            <w:r w:rsidRPr="00547313">
              <w:rPr>
                <w:color w:val="000000"/>
                <w:kern w:val="0"/>
              </w:rPr>
              <w:t>11.2.7</w:t>
            </w:r>
          </w:p>
        </w:tc>
        <w:tc>
          <w:tcPr>
            <w:tcW w:w="49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BB0D61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  <w:r w:rsidRPr="00547313">
              <w:rPr>
                <w:rFonts w:cs="宋体" w:hint="eastAsia"/>
                <w:color w:val="000000"/>
                <w:kern w:val="0"/>
              </w:rPr>
              <w:t>有规范的实验记录</w:t>
            </w:r>
          </w:p>
        </w:tc>
        <w:tc>
          <w:tcPr>
            <w:tcW w:w="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8A783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44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396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217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F08A7" w:rsidRPr="00547313" w:rsidRDefault="00FF08A7" w:rsidP="00E1186F">
            <w:pPr>
              <w:widowControl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</w:tr>
    </w:tbl>
    <w:p w:rsidR="00FF08A7" w:rsidRPr="00547313" w:rsidRDefault="00FF08A7" w:rsidP="004F0EBE">
      <w:pPr>
        <w:ind w:firstLine="480"/>
        <w:rPr>
          <w:rFonts w:ascii="宋体" w:cs="Times New Roman"/>
          <w:color w:val="000000"/>
          <w:sz w:val="24"/>
          <w:szCs w:val="24"/>
        </w:rPr>
      </w:pPr>
    </w:p>
    <w:sectPr w:rsidR="00FF08A7" w:rsidRPr="00547313" w:rsidSect="00547313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8A7" w:rsidRDefault="00FF08A7" w:rsidP="001B71A2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08A7" w:rsidRDefault="00FF08A7" w:rsidP="001B71A2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8A7" w:rsidRDefault="00FF08A7" w:rsidP="001B71A2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08A7" w:rsidRDefault="00FF08A7" w:rsidP="001B71A2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54745"/>
    <w:multiLevelType w:val="hybridMultilevel"/>
    <w:tmpl w:val="A6C447BE"/>
    <w:lvl w:ilvl="0" w:tplc="AE4C2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7CEAA1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611CEF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4A16C2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1CE040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BC3257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C1FEB0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031A70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28E095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EBE"/>
    <w:rsid w:val="00002DE2"/>
    <w:rsid w:val="00043B64"/>
    <w:rsid w:val="00053B3B"/>
    <w:rsid w:val="00060E79"/>
    <w:rsid w:val="000777D1"/>
    <w:rsid w:val="00095307"/>
    <w:rsid w:val="000B7D39"/>
    <w:rsid w:val="00193B08"/>
    <w:rsid w:val="001B35EB"/>
    <w:rsid w:val="001B71A2"/>
    <w:rsid w:val="001F2A70"/>
    <w:rsid w:val="00202D93"/>
    <w:rsid w:val="002A3EA3"/>
    <w:rsid w:val="002B5F6A"/>
    <w:rsid w:val="003067AB"/>
    <w:rsid w:val="003139AD"/>
    <w:rsid w:val="003C1325"/>
    <w:rsid w:val="004069ED"/>
    <w:rsid w:val="0041287A"/>
    <w:rsid w:val="00413930"/>
    <w:rsid w:val="004A169E"/>
    <w:rsid w:val="004F0EBE"/>
    <w:rsid w:val="004F7F0A"/>
    <w:rsid w:val="00547313"/>
    <w:rsid w:val="005F6FE6"/>
    <w:rsid w:val="00613724"/>
    <w:rsid w:val="00634786"/>
    <w:rsid w:val="00666AD3"/>
    <w:rsid w:val="006876BB"/>
    <w:rsid w:val="006947A4"/>
    <w:rsid w:val="00697175"/>
    <w:rsid w:val="006B4ACF"/>
    <w:rsid w:val="00760785"/>
    <w:rsid w:val="00791C94"/>
    <w:rsid w:val="008121B8"/>
    <w:rsid w:val="008266F0"/>
    <w:rsid w:val="008327B6"/>
    <w:rsid w:val="00884D62"/>
    <w:rsid w:val="00895D9D"/>
    <w:rsid w:val="008A7833"/>
    <w:rsid w:val="008E23BF"/>
    <w:rsid w:val="00926D24"/>
    <w:rsid w:val="009333C1"/>
    <w:rsid w:val="009A35C1"/>
    <w:rsid w:val="009A40B7"/>
    <w:rsid w:val="00A06ECF"/>
    <w:rsid w:val="00A34F9C"/>
    <w:rsid w:val="00A36BF6"/>
    <w:rsid w:val="00A95A4E"/>
    <w:rsid w:val="00AC230F"/>
    <w:rsid w:val="00AC6147"/>
    <w:rsid w:val="00BA0CA1"/>
    <w:rsid w:val="00BB0D61"/>
    <w:rsid w:val="00C34E7A"/>
    <w:rsid w:val="00C36914"/>
    <w:rsid w:val="00CA3CE8"/>
    <w:rsid w:val="00CD33FD"/>
    <w:rsid w:val="00D017CE"/>
    <w:rsid w:val="00D1302D"/>
    <w:rsid w:val="00D13C4F"/>
    <w:rsid w:val="00E1186F"/>
    <w:rsid w:val="00EB0335"/>
    <w:rsid w:val="00EF4B7B"/>
    <w:rsid w:val="00F275FA"/>
    <w:rsid w:val="00F35836"/>
    <w:rsid w:val="00F374A6"/>
    <w:rsid w:val="00FA44DD"/>
    <w:rsid w:val="00FB7EB8"/>
    <w:rsid w:val="00FC4200"/>
    <w:rsid w:val="00FE0740"/>
    <w:rsid w:val="00FF0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BE"/>
    <w:pPr>
      <w:widowControl w:val="0"/>
      <w:spacing w:line="460" w:lineRule="exact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4F0EB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4F0EB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EBE"/>
    <w:rPr>
      <w:rFonts w:ascii="宋体" w:eastAsia="宋体" w:cs="宋体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F0EBE"/>
    <w:rPr>
      <w:rFonts w:ascii="宋体" w:eastAsia="宋体" w:cs="宋体"/>
      <w:b/>
      <w:bCs/>
      <w:sz w:val="36"/>
      <w:szCs w:val="36"/>
    </w:rPr>
  </w:style>
  <w:style w:type="paragraph" w:styleId="BodyTextIndent3">
    <w:name w:val="Body Text Indent 3"/>
    <w:basedOn w:val="Normal"/>
    <w:link w:val="BodyTextIndent3Char"/>
    <w:uiPriority w:val="99"/>
    <w:rsid w:val="004F0EBE"/>
    <w:pPr>
      <w:adjustRightInd w:val="0"/>
      <w:snapToGrid w:val="0"/>
      <w:spacing w:line="360" w:lineRule="auto"/>
      <w:ind w:left="75" w:firstLine="345"/>
      <w:outlineLvl w:val="0"/>
    </w:pPr>
    <w:rPr>
      <w:rFonts w:ascii="宋体" w:hAnsi="宋体" w:cs="宋体"/>
      <w:kern w:val="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F0EBE"/>
    <w:rPr>
      <w:rFonts w:ascii="宋体" w:eastAsia="宋体" w:cs="宋体"/>
      <w:sz w:val="21"/>
      <w:szCs w:val="21"/>
    </w:rPr>
  </w:style>
  <w:style w:type="paragraph" w:customStyle="1" w:styleId="reader-word-layerreader-word-s19-13">
    <w:name w:val="reader-word-layer reader-word-s19-13"/>
    <w:basedOn w:val="Normal"/>
    <w:uiPriority w:val="99"/>
    <w:rsid w:val="004F0E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9-5">
    <w:name w:val="reader-word-layer reader-word-s19-5"/>
    <w:basedOn w:val="Normal"/>
    <w:uiPriority w:val="99"/>
    <w:rsid w:val="004F0E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4F0EBE"/>
    <w:pPr>
      <w:spacing w:before="152" w:after="160"/>
    </w:pPr>
    <w:rPr>
      <w:rFonts w:ascii="Arial" w:eastAsia="黑体" w:hAnsi="Arial" w:cs="Arial"/>
    </w:rPr>
  </w:style>
  <w:style w:type="paragraph" w:styleId="Date">
    <w:name w:val="Date"/>
    <w:basedOn w:val="Normal"/>
    <w:next w:val="Normal"/>
    <w:link w:val="DateChar"/>
    <w:uiPriority w:val="99"/>
    <w:rsid w:val="004F0EBE"/>
    <w:rPr>
      <w:rFonts w:ascii="仿宋_GB2312" w:eastAsia="仿宋_GB2312" w:hAnsi="Times New Roman" w:cs="仿宋_GB2312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locked/>
    <w:rsid w:val="004F0EBE"/>
    <w:rPr>
      <w:rFonts w:ascii="仿宋_GB2312" w:eastAsia="仿宋_GB2312" w:cs="仿宋_GB2312"/>
      <w:kern w:val="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F0EBE"/>
    <w:pPr>
      <w:ind w:firstLine="630"/>
    </w:pPr>
    <w:rPr>
      <w:rFonts w:ascii="仿宋_GB2312" w:eastAsia="仿宋_GB2312" w:hAnsi="Times New Roman" w:cs="仿宋_GB2312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F0EBE"/>
    <w:rPr>
      <w:rFonts w:ascii="仿宋_GB2312" w:eastAsia="仿宋_GB2312" w:cs="仿宋_GB2312"/>
      <w:kern w:val="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F0EB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F0EBE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4F0EB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0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F0EBE"/>
    <w:rPr>
      <w:rFonts w:cs="Times New Roman"/>
      <w:kern w:val="2"/>
      <w:sz w:val="18"/>
      <w:szCs w:val="18"/>
    </w:rPr>
  </w:style>
  <w:style w:type="paragraph" w:customStyle="1" w:styleId="a">
    <w:name w:val="大标题"/>
    <w:basedOn w:val="Normal"/>
    <w:uiPriority w:val="99"/>
    <w:rsid w:val="004F0EBE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36"/>
    </w:rPr>
  </w:style>
  <w:style w:type="paragraph" w:customStyle="1" w:styleId="a0">
    <w:name w:val="主题词"/>
    <w:basedOn w:val="Normal"/>
    <w:uiPriority w:val="99"/>
    <w:rsid w:val="004F0EBE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8"/>
    </w:rPr>
  </w:style>
  <w:style w:type="paragraph" w:customStyle="1" w:styleId="a1">
    <w:name w:val="函号"/>
    <w:basedOn w:val="Normal"/>
    <w:uiPriority w:val="99"/>
    <w:rsid w:val="004F0EBE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4F0EBE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仿宋_GB2312"/>
      <w:kern w:val="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F0EBE"/>
    <w:rPr>
      <w:rFonts w:ascii="仿宋_GB2312" w:eastAsia="仿宋_GB2312" w:cs="仿宋_GB2312"/>
      <w:sz w:val="28"/>
      <w:szCs w:val="28"/>
    </w:rPr>
  </w:style>
  <w:style w:type="paragraph" w:customStyle="1" w:styleId="a2">
    <w:name w:val="文号"/>
    <w:basedOn w:val="Normal"/>
    <w:uiPriority w:val="99"/>
    <w:rsid w:val="004F0EBE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4F0EBE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F0EBE"/>
    <w:rPr>
      <w:rFonts w:ascii="宋体" w:hAnsi="Courier New" w:cs="宋体"/>
      <w:kern w:val="2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4F0EBE"/>
    <w:pPr>
      <w:spacing w:line="380" w:lineRule="exact"/>
    </w:pPr>
    <w:rPr>
      <w:rFonts w:ascii="Times New Roman" w:eastAsia="仿宋_GB2312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0EBE"/>
    <w:rPr>
      <w:rFonts w:eastAsia="仿宋_GB2312" w:cs="Times New Roman"/>
      <w:kern w:val="2"/>
      <w:sz w:val="28"/>
      <w:szCs w:val="28"/>
    </w:rPr>
  </w:style>
  <w:style w:type="character" w:customStyle="1" w:styleId="unnamed2">
    <w:name w:val="unnamed2"/>
    <w:basedOn w:val="DefaultParagraphFont"/>
    <w:uiPriority w:val="99"/>
    <w:rsid w:val="004F0EBE"/>
    <w:rPr>
      <w:rFonts w:cs="Times New Roman"/>
    </w:rPr>
  </w:style>
  <w:style w:type="character" w:styleId="Hyperlink">
    <w:name w:val="Hyperlink"/>
    <w:basedOn w:val="DefaultParagraphFont"/>
    <w:uiPriority w:val="99"/>
    <w:rsid w:val="004F0EBE"/>
    <w:rPr>
      <w:rFonts w:cs="Times New Roman"/>
      <w:color w:val="auto"/>
      <w:u w:val="none"/>
      <w:effect w:val="none"/>
    </w:rPr>
  </w:style>
  <w:style w:type="paragraph" w:styleId="NormalWeb">
    <w:name w:val="Normal (Web)"/>
    <w:basedOn w:val="Normal"/>
    <w:uiPriority w:val="99"/>
    <w:rsid w:val="004F0E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F0EB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F0EBE"/>
    <w:rPr>
      <w:rFonts w:cs="Times New Roman"/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4F0EBE"/>
    <w:rPr>
      <w:rFonts w:cs="Times New Roman"/>
      <w:color w:val="800080"/>
      <w:u w:val="single"/>
    </w:rPr>
  </w:style>
  <w:style w:type="character" w:customStyle="1" w:styleId="high-light-bg4">
    <w:name w:val="high-light-bg4"/>
    <w:basedOn w:val="DefaultParagraphFont"/>
    <w:uiPriority w:val="99"/>
    <w:rsid w:val="004F0EBE"/>
    <w:rPr>
      <w:rFonts w:cs="Times New Roman"/>
    </w:rPr>
  </w:style>
  <w:style w:type="paragraph" w:customStyle="1" w:styleId="ordinary-output">
    <w:name w:val="ordinary-output"/>
    <w:basedOn w:val="Normal"/>
    <w:uiPriority w:val="99"/>
    <w:rsid w:val="004F0EBE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character" w:customStyle="1" w:styleId="edited2">
    <w:name w:val="edited2"/>
    <w:basedOn w:val="DefaultParagraphFont"/>
    <w:uiPriority w:val="99"/>
    <w:rsid w:val="004F0EB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4F0EB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8</Pages>
  <Words>1217</Words>
  <Characters>6942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zju</dc:creator>
  <cp:keywords/>
  <dc:description/>
  <cp:lastModifiedBy>韩丽</cp:lastModifiedBy>
  <cp:revision>10</cp:revision>
  <cp:lastPrinted>2016-01-06T07:44:00Z</cp:lastPrinted>
  <dcterms:created xsi:type="dcterms:W3CDTF">2016-01-07T00:59:00Z</dcterms:created>
  <dcterms:modified xsi:type="dcterms:W3CDTF">2016-01-07T08:32:00Z</dcterms:modified>
</cp:coreProperties>
</file>